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33" w:rsidRDefault="00785933" w:rsidP="001623AE">
      <w:pPr>
        <w:jc w:val="center"/>
      </w:pPr>
    </w:p>
    <w:p w:rsidR="00785933" w:rsidRDefault="00785933" w:rsidP="001623AE">
      <w:pPr>
        <w:jc w:val="center"/>
      </w:pPr>
    </w:p>
    <w:p w:rsidR="00785933" w:rsidRDefault="00785933" w:rsidP="001623AE">
      <w:pPr>
        <w:jc w:val="center"/>
      </w:pPr>
    </w:p>
    <w:p w:rsidR="00785933" w:rsidRDefault="00785933" w:rsidP="001623AE">
      <w:pPr>
        <w:jc w:val="center"/>
      </w:pPr>
    </w:p>
    <w:p w:rsidR="00785933" w:rsidRDefault="00785933" w:rsidP="001623AE">
      <w:pPr>
        <w:jc w:val="center"/>
      </w:pPr>
      <w:r w:rsidRPr="00AD00DE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i1025" type="#_x0000_t75" style="width:358.8pt;height:53.4pt;visibility:visible">
            <v:imagedata r:id="rId7" o:title=""/>
          </v:shape>
        </w:pict>
      </w:r>
    </w:p>
    <w:p w:rsidR="00785933" w:rsidRPr="00610BAC" w:rsidRDefault="00785933">
      <w:pPr>
        <w:rPr>
          <w:color w:val="FF0000"/>
        </w:rPr>
      </w:pPr>
      <w:r>
        <w:rPr>
          <w:noProof/>
          <w:lang w:eastAsia="cs-CZ"/>
        </w:rPr>
        <w:pict>
          <v:roundrect id="AutoShape 15" o:spid="_x0000_s1026" style="position:absolute;margin-left:25.4pt;margin-top:74.3pt;width:431.8pt;height:224.35pt;z-index:251658240;visibility:visible;v-text-anchor:middle" arcsize="6417f" fillcolor="#369" stroked="f">
            <v:textbox inset="2.53975mm,1.2699mm,2.53975mm,1.2699mm">
              <w:txbxContent>
                <w:p w:rsidR="00785933" w:rsidRPr="0053417B" w:rsidRDefault="00785933" w:rsidP="0053417B">
                  <w:pPr>
                    <w:pStyle w:val="NormalWeb"/>
                    <w:tabs>
                      <w:tab w:val="left" w:pos="0"/>
                    </w:tabs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56"/>
                      <w:szCs w:val="80"/>
                    </w:rPr>
                  </w:pPr>
                  <w:bookmarkStart w:id="0" w:name="_GoBack"/>
                  <w:bookmarkEnd w:id="0"/>
                  <w:r w:rsidRPr="00C666F9">
                    <w:rPr>
                      <w:rFonts w:ascii="Calibri" w:hAnsi="Calibri"/>
                      <w:b/>
                      <w:bCs/>
                      <w:color w:val="FFFFFF"/>
                      <w:kern w:val="24"/>
                      <w:sz w:val="56"/>
                      <w:szCs w:val="80"/>
                    </w:rPr>
                    <w:t xml:space="preserve">VYHODNOCENÍ PŘEDVOLEBNÍHO A VOLEBNÍHO VYSÍLÁNÍ ČT </w:t>
                  </w:r>
                </w:p>
                <w:p w:rsidR="00785933" w:rsidRPr="00C666F9" w:rsidRDefault="00785933" w:rsidP="0053417B">
                  <w:pPr>
                    <w:pStyle w:val="NormalWeb"/>
                    <w:tabs>
                      <w:tab w:val="left" w:pos="0"/>
                    </w:tabs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/>
                      <w:b/>
                      <w:bCs/>
                      <w:color w:val="FFFFFF"/>
                      <w:kern w:val="24"/>
                      <w:sz w:val="48"/>
                      <w:szCs w:val="48"/>
                    </w:rPr>
                  </w:pPr>
                </w:p>
                <w:p w:rsidR="00785933" w:rsidRPr="00C666F9" w:rsidRDefault="00785933" w:rsidP="0053417B">
                  <w:pPr>
                    <w:pStyle w:val="NormalWeb"/>
                    <w:tabs>
                      <w:tab w:val="left" w:pos="0"/>
                    </w:tabs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/>
                      <w:b/>
                      <w:bCs/>
                      <w:color w:val="FFFFFF"/>
                      <w:kern w:val="24"/>
                      <w:sz w:val="48"/>
                      <w:szCs w:val="48"/>
                    </w:rPr>
                  </w:pPr>
                  <w:r w:rsidRPr="00C666F9">
                    <w:rPr>
                      <w:rFonts w:ascii="Calibri" w:hAnsi="Calibri"/>
                      <w:b/>
                      <w:bCs/>
                      <w:color w:val="FFFFFF"/>
                      <w:kern w:val="24"/>
                      <w:sz w:val="48"/>
                      <w:szCs w:val="48"/>
                    </w:rPr>
                    <w:t>Krajské volby a doplňovací volby do Senátu PČR v roce 2012</w:t>
                  </w:r>
                </w:p>
                <w:p w:rsidR="00785933" w:rsidRPr="00C666F9" w:rsidRDefault="00785933" w:rsidP="001623AE">
                  <w:pPr>
                    <w:pStyle w:val="NormalWeb"/>
                    <w:tabs>
                      <w:tab w:val="left" w:pos="0"/>
                    </w:tabs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/>
                      <w:b/>
                      <w:bCs/>
                      <w:color w:val="FFFFFF"/>
                      <w:kern w:val="24"/>
                      <w:sz w:val="48"/>
                      <w:szCs w:val="48"/>
                    </w:rPr>
                  </w:pPr>
                </w:p>
                <w:p w:rsidR="00785933" w:rsidRPr="00AD0E1D" w:rsidRDefault="00785933" w:rsidP="001623AE">
                  <w:pPr>
                    <w:pStyle w:val="NormalWeb"/>
                    <w:tabs>
                      <w:tab w:val="left" w:pos="0"/>
                    </w:tabs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sz w:val="48"/>
                      <w:szCs w:val="48"/>
                    </w:rPr>
                  </w:pPr>
                </w:p>
              </w:txbxContent>
            </v:textbox>
          </v:roundrect>
        </w:pict>
      </w:r>
      <w:r>
        <w:br w:type="page"/>
      </w:r>
    </w:p>
    <w:p w:rsidR="00785933" w:rsidRDefault="00785933" w:rsidP="0053417B">
      <w:pPr>
        <w:pStyle w:val="Heading1"/>
        <w:numPr>
          <w:ilvl w:val="0"/>
          <w:numId w:val="16"/>
        </w:numPr>
        <w:pBdr>
          <w:bottom w:val="single" w:sz="4" w:space="1" w:color="auto"/>
        </w:pBdr>
        <w:ind w:left="426"/>
      </w:pPr>
      <w:r>
        <w:t>Redakční koncept a zhodnocení jeho realizace</w:t>
      </w:r>
    </w:p>
    <w:p w:rsidR="00785933" w:rsidRDefault="00785933" w:rsidP="0053417B"/>
    <w:p w:rsidR="00785933" w:rsidRDefault="00785933" w:rsidP="0053417B">
      <w:r>
        <w:t xml:space="preserve">Pro Českou televizi a její zpravodajství bylo plnohodnotné a profesionální vysílání spojené s krajskými volbami a doplňovacími volbami do Senátu jedním z klíčových úkolů roku 2012. ČT se po intenzivních úvahách rozhodla realizovat širší koncept předvolebního vysílání, který se v její historii v souvislosti s krajskými volbami co do rozsahu dosud neuplatnil.  Rámec konceptu vyjma standardního zpravodajského vysílání tvořily v předvolebním období především dva speciální cykly pořadů, na samotný akt voleb pak navázalo dvojí Volební studio ČT24.  </w:t>
      </w:r>
    </w:p>
    <w:p w:rsidR="00785933" w:rsidRDefault="00785933" w:rsidP="0053417B">
      <w:pPr>
        <w:rPr>
          <w:b/>
        </w:rPr>
      </w:pPr>
      <w:r>
        <w:t xml:space="preserve">Zcela novým krokem bylo přijetí vnitřní normy ČTnazvané </w:t>
      </w:r>
      <w:r>
        <w:rPr>
          <w:b/>
          <w:i/>
        </w:rPr>
        <w:t>Pravidla předvolebního a volebního vysílání České televize  -  volby do Senátu Poslanecké sněmovny Parlamentu a do krajských zastupitelstev v roce 2012</w:t>
      </w:r>
      <w:r>
        <w:t xml:space="preserve">. Tento dokument se v praxi stal konkrétním a jednoznačným vodítkem pro práci redaktorů, moderátorů, dramaturgů i editorů. Jednalo se o veřejný dokument, který umožnil transparentní a korektní redakční rozhodování a zabraňoval nesprávným postupům, které by v důsledku mohly poškodit vyváženost a přesnost vysílání ČT </w:t>
      </w:r>
      <w:r w:rsidRPr="006439F9">
        <w:t>(více viz kapitola Vyhodnocení přístupu ČT a koncepce pravidel).</w:t>
      </w:r>
    </w:p>
    <w:p w:rsidR="00785933" w:rsidRDefault="00785933" w:rsidP="0053417B"/>
    <w:p w:rsidR="00785933" w:rsidRDefault="00785933" w:rsidP="00BB0EC6">
      <w:pPr>
        <w:pStyle w:val="Heading2"/>
        <w:numPr>
          <w:ilvl w:val="1"/>
          <w:numId w:val="17"/>
        </w:numPr>
        <w:ind w:left="426"/>
      </w:pPr>
      <w:r>
        <w:t>OTÁZKY VÁCLAVA MORAVCE – PŘEDVOLEBNÍ SPECIÁLY</w:t>
      </w:r>
    </w:p>
    <w:p w:rsidR="00785933" w:rsidRDefault="00785933" w:rsidP="0053417B">
      <w:r>
        <w:t xml:space="preserve">Česká televize od roku 2006 vysílá speciální cykly předvolebních debat (Otázky Václava Moravce Speciál). Jejich cílem je nabídnout voličům co nejvíce informací o politických subjektech, volebních programech, kandidátech a poskytnout tak občanům podklady pro kvalitní a kvalifikované volební rozhodnutí a zároveň i přispět přispět  k co největší participaci veřejnosti na volbách.  Maximální pozornost byla dosud vždy věnována volbám do Poslanecké sněmovny PČR. </w:t>
      </w:r>
      <w:r>
        <w:rPr>
          <w:b/>
        </w:rPr>
        <w:t>V letošním roce ale stejný prostor – tj. vysílání velkých debat ze všech 13 krajů - dostaly i volby do krajských zastupitelstev.</w:t>
      </w:r>
    </w:p>
    <w:p w:rsidR="00785933" w:rsidRDefault="00785933" w:rsidP="0053417B">
      <w:pPr>
        <w:rPr>
          <w:color w:val="000000"/>
        </w:rPr>
      </w:pPr>
      <w:r>
        <w:t>K uskutečnění tohoto záměru bylo možné přikročit mimo jiné také proto, že zpravodajský program ČT24  signálem pokrývá již téměř 100 procent území ČR. R</w:t>
      </w:r>
      <w:r>
        <w:rPr>
          <w:color w:val="000000"/>
        </w:rPr>
        <w:t xml:space="preserve">ozpočtové rezervy vytvořené ve zpravodajství v průběhu roku 2012 rovněž umožnily realizaci </w:t>
      </w:r>
      <w:r>
        <w:rPr>
          <w:b/>
          <w:color w:val="000000"/>
        </w:rPr>
        <w:t>zdvojeného sociologického průzkumu</w:t>
      </w:r>
      <w:r>
        <w:rPr>
          <w:color w:val="000000"/>
        </w:rPr>
        <w:t xml:space="preserve">, poskytujícího klíč k výběru hostů. </w:t>
      </w:r>
    </w:p>
    <w:p w:rsidR="00785933" w:rsidRDefault="00785933" w:rsidP="0053417B">
      <w:pPr>
        <w:rPr>
          <w:b/>
          <w:u w:val="single"/>
        </w:rPr>
      </w:pPr>
      <w:r>
        <w:rPr>
          <w:b/>
          <w:u w:val="single"/>
        </w:rPr>
        <w:t xml:space="preserve">Realizace záměru:  </w:t>
      </w:r>
    </w:p>
    <w:p w:rsidR="00785933" w:rsidRDefault="00785933" w:rsidP="00BB0EC6">
      <w:pPr>
        <w:numPr>
          <w:ilvl w:val="0"/>
          <w:numId w:val="6"/>
        </w:numPr>
        <w:spacing w:after="0"/>
      </w:pPr>
      <w:r>
        <w:t xml:space="preserve">Vysílalo se z center </w:t>
      </w:r>
      <w:r>
        <w:rPr>
          <w:b/>
        </w:rPr>
        <w:t>všech třinácti volebních krajů</w:t>
      </w:r>
    </w:p>
    <w:p w:rsidR="00785933" w:rsidRDefault="00785933" w:rsidP="00BB0EC6">
      <w:pPr>
        <w:numPr>
          <w:ilvl w:val="0"/>
          <w:numId w:val="6"/>
        </w:numPr>
        <w:spacing w:after="0"/>
      </w:pPr>
      <w:r>
        <w:rPr>
          <w:b/>
        </w:rPr>
        <w:t>Termín</w:t>
      </w:r>
      <w:r>
        <w:t xml:space="preserve"> byl omezen obdobím letních dovolených a samotných voleb -  od 28. srpna každé úterý a čtvrtek s výjimkou danou zákonem - pondělí 8. října místo úterý 9. října - od 21:00 do 22:30 na ČT24. </w:t>
      </w:r>
    </w:p>
    <w:p w:rsidR="00785933" w:rsidRDefault="00785933" w:rsidP="00BB0EC6">
      <w:pPr>
        <w:numPr>
          <w:ilvl w:val="0"/>
          <w:numId w:val="6"/>
        </w:numPr>
        <w:spacing w:after="0"/>
      </w:pPr>
      <w:r>
        <w:rPr>
          <w:b/>
        </w:rPr>
        <w:t>Dramaturgie byla pevně stanovena</w:t>
      </w:r>
      <w:r>
        <w:t xml:space="preserve"> pro všechny pořady, aby kandidáti měli stejné podmínky a možnosti.</w:t>
      </w:r>
    </w:p>
    <w:p w:rsidR="00785933" w:rsidRDefault="00785933" w:rsidP="00BB0EC6">
      <w:pPr>
        <w:numPr>
          <w:ilvl w:val="0"/>
          <w:numId w:val="7"/>
        </w:numPr>
        <w:spacing w:after="0"/>
      </w:pPr>
      <w:r>
        <w:t xml:space="preserve">Počet kandidátů na pódiu byl stanoven na </w:t>
      </w:r>
      <w:r>
        <w:rPr>
          <w:b/>
        </w:rPr>
        <w:t>maximální počet 6</w:t>
      </w:r>
      <w:r>
        <w:t xml:space="preserve">, neboť ve větším počtu by neměli prostor seznámit voliče alespoň se základními programovými prioritami. </w:t>
      </w:r>
    </w:p>
    <w:p w:rsidR="00785933" w:rsidRDefault="00785933" w:rsidP="00BB0EC6">
      <w:pPr>
        <w:numPr>
          <w:ilvl w:val="0"/>
          <w:numId w:val="7"/>
        </w:numPr>
        <w:spacing w:after="0"/>
      </w:pPr>
      <w:r>
        <w:t xml:space="preserve">Stopáž diskuse činila </w:t>
      </w:r>
      <w:r>
        <w:rPr>
          <w:b/>
        </w:rPr>
        <w:t>90 minut</w:t>
      </w:r>
      <w:r>
        <w:t>, neboť v delším čase už nelze udržet koncentrovanou diváckou pozornost. </w:t>
      </w:r>
    </w:p>
    <w:p w:rsidR="00785933" w:rsidRDefault="00785933" w:rsidP="00BB0EC6">
      <w:pPr>
        <w:numPr>
          <w:ilvl w:val="0"/>
          <w:numId w:val="7"/>
        </w:numPr>
        <w:spacing w:after="0"/>
      </w:pPr>
      <w:r>
        <w:t xml:space="preserve">Hosté (lídři kandidátek - kandidáti na hejtmana) byli zváni na základě </w:t>
      </w:r>
      <w:r>
        <w:rPr>
          <w:b/>
        </w:rPr>
        <w:t>výsledků dvou na sobě nezávislých sociologických průzkumů</w:t>
      </w:r>
      <w:r>
        <w:t xml:space="preserve"> (viz hodnotící zpráva APA). </w:t>
      </w:r>
    </w:p>
    <w:p w:rsidR="00785933" w:rsidRDefault="00785933" w:rsidP="00BB0EC6">
      <w:pPr>
        <w:numPr>
          <w:ilvl w:val="0"/>
          <w:numId w:val="7"/>
        </w:numPr>
        <w:spacing w:after="0"/>
      </w:pPr>
      <w:r>
        <w:t xml:space="preserve">Zásadní koncepční změnou bylo </w:t>
      </w:r>
      <w:r>
        <w:rPr>
          <w:b/>
        </w:rPr>
        <w:t>opuštění pětiprocentní hranice</w:t>
      </w:r>
      <w:r>
        <w:t xml:space="preserve"> (zákonem stanovená pro vstup do zastupitelstva), takže hosty se mohli stát i kandidáti subjektů, které nebyly v době konání průzkumů pevně usazeny v povědomí voličů.</w:t>
      </w:r>
    </w:p>
    <w:p w:rsidR="00785933" w:rsidRDefault="00785933" w:rsidP="00BB0EC6">
      <w:pPr>
        <w:numPr>
          <w:ilvl w:val="0"/>
          <w:numId w:val="7"/>
        </w:numPr>
        <w:spacing w:after="0"/>
      </w:pPr>
      <w:r>
        <w:t xml:space="preserve">Celkem se na obrazovce ČT objevilo </w:t>
      </w:r>
      <w:r>
        <w:rPr>
          <w:b/>
        </w:rPr>
        <w:t>78 kandidátů</w:t>
      </w:r>
      <w:r>
        <w:t>, kteří reprezentovali </w:t>
      </w:r>
      <w:r>
        <w:rPr>
          <w:b/>
        </w:rPr>
        <w:t>20 různých politických subjektů</w:t>
      </w:r>
      <w:r>
        <w:t xml:space="preserve"> (při zohlednění koalic 23) </w:t>
      </w:r>
    </w:p>
    <w:p w:rsidR="00785933" w:rsidRDefault="00785933" w:rsidP="00BB0EC6">
      <w:pPr>
        <w:numPr>
          <w:ilvl w:val="0"/>
          <w:numId w:val="7"/>
        </w:numPr>
        <w:spacing w:after="0"/>
      </w:pPr>
      <w:r>
        <w:t xml:space="preserve">Významný prostor pro vyjádření dostalo </w:t>
      </w:r>
      <w:r>
        <w:rPr>
          <w:b/>
        </w:rPr>
        <w:t>publikum</w:t>
      </w:r>
      <w:r>
        <w:t xml:space="preserve">. Aby nedocházelo k rušivým excesům jako v minulosti a v zájmu pevné dramaturgie, bylo publikum i témata otázek vybírány prostřednictvím speciálního dotazníku  zveřejněného na internetových stránkách ČT. Inspirací byla metodika výběru publika do diskusních pořadů BBC. Metoda se osvědčila, publikum bez výjimky bylo kultivované, otázky byly v naprosté většině pokládány ve věcné rovině a orientovaly se na problémy typické pro jednotlivé kraje a regiony. </w:t>
      </w:r>
    </w:p>
    <w:p w:rsidR="00785933" w:rsidRDefault="00785933" w:rsidP="00BB0EC6">
      <w:pPr>
        <w:numPr>
          <w:ilvl w:val="0"/>
          <w:numId w:val="7"/>
        </w:numPr>
        <w:spacing w:after="0"/>
      </w:pPr>
      <w:r>
        <w:t>Novinkou byla také závěrečná rubrika "Do roka a do dne", kdy všichni hosté písemně slíbili, co do roka a do dne v kraji změní, pokud se stanou hejtmany. To ČT dává možnost návratu ke konkrétním regionálním problémům</w:t>
      </w:r>
    </w:p>
    <w:p w:rsidR="00785933" w:rsidRDefault="00785933" w:rsidP="00BB0EC6">
      <w:pPr>
        <w:numPr>
          <w:ilvl w:val="0"/>
          <w:numId w:val="7"/>
        </w:numPr>
        <w:spacing w:after="0"/>
      </w:pPr>
      <w:r>
        <w:t xml:space="preserve">Požadavku </w:t>
      </w:r>
      <w:r>
        <w:rPr>
          <w:b/>
        </w:rPr>
        <w:t>rovných podmínek</w:t>
      </w:r>
      <w:r>
        <w:t xml:space="preserve"> byla podřízena i výtvarná a grafická stránka pořadu. Dekorace byla univerzální, mobilní a v každém městě stejná. Měnily se jen žánrové obrázky dokumentující specifičnost jednotlivých regionů.</w:t>
      </w:r>
    </w:p>
    <w:p w:rsidR="00785933" w:rsidRDefault="00785933" w:rsidP="00BB0EC6">
      <w:pPr>
        <w:numPr>
          <w:ilvl w:val="0"/>
          <w:numId w:val="7"/>
        </w:numPr>
        <w:spacing w:after="0"/>
        <w:rPr>
          <w:color w:val="000000"/>
        </w:rPr>
      </w:pPr>
      <w:r>
        <w:rPr>
          <w:color w:val="000000"/>
        </w:rPr>
        <w:t xml:space="preserve">Moderátor </w:t>
      </w:r>
      <w:r>
        <w:rPr>
          <w:b/>
          <w:color w:val="000000"/>
        </w:rPr>
        <w:t>Václav Moravec</w:t>
      </w:r>
      <w:r>
        <w:rPr>
          <w:color w:val="000000"/>
        </w:rPr>
        <w:t xml:space="preserve"> odváděl stabilní kvalitní výkon, opírající se o spolupráci s týmem a o zkušenosti z předchozích mimořádných cyklů i z pravidelných nedělních Otázek   </w:t>
      </w:r>
    </w:p>
    <w:p w:rsidR="00785933" w:rsidRDefault="00785933" w:rsidP="00BB0EC6">
      <w:pPr>
        <w:numPr>
          <w:ilvl w:val="0"/>
          <w:numId w:val="7"/>
        </w:numPr>
        <w:spacing w:after="0"/>
        <w:rPr>
          <w:color w:val="000000"/>
        </w:rPr>
      </w:pPr>
      <w:r>
        <w:rPr>
          <w:b/>
          <w:color w:val="000000"/>
        </w:rPr>
        <w:t>Divácké přijetí</w:t>
      </w:r>
      <w:r>
        <w:rPr>
          <w:color w:val="000000"/>
        </w:rPr>
        <w:t xml:space="preserve"> cyklu předvolebních debat dokreslují následující čísla:</w:t>
      </w:r>
    </w:p>
    <w:p w:rsidR="00785933" w:rsidRDefault="00785933" w:rsidP="00BB0EC6">
      <w:pPr>
        <w:numPr>
          <w:ilvl w:val="0"/>
          <w:numId w:val="8"/>
        </w:numPr>
        <w:spacing w:after="0"/>
        <w:rPr>
          <w:color w:val="000000"/>
        </w:rPr>
      </w:pPr>
      <w:r>
        <w:rPr>
          <w:b/>
          <w:color w:val="000000"/>
        </w:rPr>
        <w:t>Celková sledovanost</w:t>
      </w:r>
      <w:r>
        <w:rPr>
          <w:color w:val="000000"/>
        </w:rPr>
        <w:t xml:space="preserve"> v průměru dosahovala </w:t>
      </w:r>
      <w:r>
        <w:rPr>
          <w:b/>
          <w:color w:val="000000"/>
        </w:rPr>
        <w:t>119 000diváků</w:t>
      </w:r>
      <w:r>
        <w:rPr>
          <w:color w:val="000000"/>
        </w:rPr>
        <w:t xml:space="preserve"> starších 15ti let </w:t>
      </w:r>
    </w:p>
    <w:p w:rsidR="00785933" w:rsidRDefault="00785933" w:rsidP="00BB0EC6">
      <w:pPr>
        <w:numPr>
          <w:ilvl w:val="0"/>
          <w:numId w:val="8"/>
        </w:numPr>
        <w:spacing w:after="0"/>
        <w:rPr>
          <w:color w:val="000000"/>
        </w:rPr>
      </w:pPr>
      <w:r>
        <w:rPr>
          <w:b/>
          <w:color w:val="000000"/>
        </w:rPr>
        <w:t>Podílu na publiku</w:t>
      </w:r>
      <w:r>
        <w:rPr>
          <w:color w:val="000000"/>
        </w:rPr>
        <w:t xml:space="preserve"> (share) činil </w:t>
      </w:r>
      <w:r>
        <w:rPr>
          <w:b/>
          <w:color w:val="000000"/>
        </w:rPr>
        <w:t>3,46%</w:t>
      </w:r>
    </w:p>
    <w:p w:rsidR="00785933" w:rsidRDefault="00785933" w:rsidP="00BB0EC6">
      <w:pPr>
        <w:numPr>
          <w:ilvl w:val="0"/>
          <w:numId w:val="8"/>
        </w:numPr>
        <w:spacing w:after="0"/>
        <w:rPr>
          <w:color w:val="000000"/>
        </w:rPr>
      </w:pPr>
      <w:r>
        <w:rPr>
          <w:b/>
          <w:color w:val="000000"/>
        </w:rPr>
        <w:t>Sledovanost v konkrétních krajích</w:t>
      </w:r>
      <w:r>
        <w:rPr>
          <w:color w:val="000000"/>
        </w:rPr>
        <w:t xml:space="preserve"> v průměru představovala </w:t>
      </w:r>
      <w:r>
        <w:rPr>
          <w:b/>
          <w:color w:val="000000"/>
        </w:rPr>
        <w:t>8,63 % share</w:t>
      </w:r>
      <w:r>
        <w:rPr>
          <w:color w:val="000000"/>
        </w:rPr>
        <w:t xml:space="preserve"> (více než dvojnásobek celorepublikového průměru)</w:t>
      </w:r>
    </w:p>
    <w:p w:rsidR="00785933" w:rsidRDefault="00785933" w:rsidP="0053417B">
      <w:pPr>
        <w:rPr>
          <w:color w:val="000000"/>
        </w:rPr>
      </w:pPr>
    </w:p>
    <w:p w:rsidR="00785933" w:rsidRPr="0053417B" w:rsidRDefault="00785933" w:rsidP="00BB0EC6">
      <w:pPr>
        <w:pStyle w:val="Heading2"/>
        <w:numPr>
          <w:ilvl w:val="1"/>
          <w:numId w:val="17"/>
        </w:numPr>
        <w:ind w:left="426"/>
      </w:pPr>
      <w:r w:rsidRPr="0053417B">
        <w:t xml:space="preserve">POLITICKÉ SPEKTRUM </w:t>
      </w:r>
    </w:p>
    <w:p w:rsidR="00785933" w:rsidRDefault="00785933" w:rsidP="0053417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Záměrem předvolební transformace diskusního pořadu Politické spektrum bylo představit po jednotlivých krajích všechny lídry kandidátek všech stran, hnutí a uskupení, kteří se rozhodli zúčastnit krajských voleb - celkem 250 lidí. </w:t>
      </w:r>
      <w:r>
        <w:rPr>
          <w:b/>
        </w:rPr>
        <w:t xml:space="preserve">ČT se tak rozhodla, poskytnout ve vysílání ČT24 prostor všem subjektům kandidujících ve všech krajích podle principu absolutní rovnosti. </w:t>
      </w:r>
      <w:r>
        <w:t>Tímto krokem jimumožnila přístup na obrazovku, ačkoli volební zákon kandidujícím subjektům na rozdíl např. od voleb do Poslanecké sněmovny ČR vysílací čas neposkytuje.</w:t>
      </w:r>
    </w:p>
    <w:p w:rsidR="00785933" w:rsidRDefault="00785933" w:rsidP="0053417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Co do počtu respondentů šlo o největší předvolební projekt v historii televize. Každý lídr ve stejném časovém prostoru odpovídal na otázku: </w:t>
      </w:r>
      <w:r>
        <w:rPr>
          <w:rFonts w:cs="Arial"/>
          <w:b/>
          <w:i/>
        </w:rPr>
        <w:t>Který problém kraje považujete za nejdůležitější a jak byste ho řešil</w:t>
      </w:r>
      <w:r>
        <w:rPr>
          <w:rFonts w:cs="Arial"/>
        </w:rPr>
        <w:t>? Pořad připravovala Redakce aktuální publicistiky ve spolupráci s krajskými redakcemi Redakce zpravodajství, na kterých ležela hlavní tíže – natočení jednotlivých rozhovorů. Záměr vyžadoval podrobnou přípravu a přesné zadání hlavního dramaturga (A. V. Poledne) a vysoké produkční a výrobní nasazení ze strany krajských redakcí.</w:t>
      </w:r>
    </w:p>
    <w:p w:rsidR="00785933" w:rsidRDefault="00785933" w:rsidP="0053417B">
      <w:pPr>
        <w:autoSpaceDE w:val="0"/>
        <w:autoSpaceDN w:val="0"/>
        <w:adjustRightInd w:val="0"/>
        <w:rPr>
          <w:rFonts w:cs="Arial"/>
          <w:u w:val="single"/>
        </w:rPr>
      </w:pPr>
      <w:r>
        <w:rPr>
          <w:b/>
          <w:u w:val="single"/>
        </w:rPr>
        <w:t xml:space="preserve">Realizace záměru:  </w:t>
      </w:r>
    </w:p>
    <w:p w:rsidR="00785933" w:rsidRDefault="00785933" w:rsidP="00BB0EC6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 xml:space="preserve">Odvysílalo se </w:t>
      </w:r>
      <w:r>
        <w:rPr>
          <w:rFonts w:cs="Arial"/>
          <w:b/>
        </w:rPr>
        <w:t>246 rozhovorů</w:t>
      </w:r>
      <w:r>
        <w:rPr>
          <w:rFonts w:cs="Arial"/>
        </w:rPr>
        <w:t xml:space="preserve"> - čtyři lídři se rozhodli nabídku vystoupení nevyužít. </w:t>
      </w:r>
    </w:p>
    <w:p w:rsidR="00785933" w:rsidRDefault="00785933" w:rsidP="00BB0EC6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 xml:space="preserve">Jednotlivé příspěvky byly řazeny abecedě podle názvu strany a byly doplněny krátkou informací o kraji a tzv. volební kuchařkou informující o základních momentech výkonu volebního práva. </w:t>
      </w:r>
    </w:p>
    <w:p w:rsidR="00785933" w:rsidRDefault="00785933" w:rsidP="00BB0EC6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První díl cyklu Politické spektrum – krajské volby 2012 se vysílal 1. září, poslední 6. října, premiéra vždy dvou dílů byla každou sobotu od 22:00 na ČT24.</w:t>
      </w:r>
    </w:p>
    <w:p w:rsidR="00785933" w:rsidRDefault="00785933" w:rsidP="00BB0EC6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 xml:space="preserve">Celkem bylo odvysíláno </w:t>
      </w:r>
      <w:r>
        <w:rPr>
          <w:rFonts w:cs="Arial"/>
          <w:b/>
        </w:rPr>
        <w:t>13 dílů</w:t>
      </w:r>
      <w:r>
        <w:rPr>
          <w:rFonts w:cs="Arial"/>
        </w:rPr>
        <w:t xml:space="preserve"> při stopáži </w:t>
      </w:r>
      <w:r>
        <w:rPr>
          <w:rFonts w:cs="Arial"/>
          <w:b/>
        </w:rPr>
        <w:t>26 minut</w:t>
      </w:r>
      <w:r>
        <w:rPr>
          <w:rFonts w:cs="Arial"/>
        </w:rPr>
        <w:t>, jedné premiéře a třech reprízách (tj. 23 vysílacích hodin)</w:t>
      </w:r>
    </w:p>
    <w:p w:rsidR="00785933" w:rsidRDefault="00785933" w:rsidP="00BB0EC6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Arial"/>
          <w:b/>
        </w:rPr>
      </w:pPr>
      <w:r>
        <w:rPr>
          <w:rFonts w:cs="Arial"/>
          <w:b/>
        </w:rPr>
        <w:t>Průměrná sledovanost (15+): rating - 60 000, share - 2,55 % a reach – 101 000 (3 min. kontinuálně).</w:t>
      </w:r>
    </w:p>
    <w:p w:rsidR="00785933" w:rsidRDefault="00785933" w:rsidP="0053417B">
      <w:pPr>
        <w:rPr>
          <w:b/>
          <w:u w:val="single"/>
        </w:rPr>
      </w:pPr>
    </w:p>
    <w:p w:rsidR="00785933" w:rsidRPr="00BB0EC6" w:rsidRDefault="00785933" w:rsidP="00BB0EC6">
      <w:pPr>
        <w:pStyle w:val="Heading2"/>
        <w:numPr>
          <w:ilvl w:val="1"/>
          <w:numId w:val="17"/>
        </w:numPr>
        <w:ind w:left="426"/>
      </w:pPr>
      <w:r w:rsidRPr="00BB0EC6">
        <w:t>VOLEBNÍ STUDIO ČT24:  Krajské volb</w:t>
      </w:r>
      <w:r>
        <w:t xml:space="preserve">y a 1. kolo senátních voleb </w:t>
      </w:r>
      <w:r>
        <w:br/>
        <w:t>(13.</w:t>
      </w:r>
      <w:r w:rsidRPr="00BB0EC6">
        <w:t>–14.10.2012</w:t>
      </w:r>
      <w:r>
        <w:t>)</w:t>
      </w:r>
    </w:p>
    <w:p w:rsidR="00785933" w:rsidRDefault="00785933" w:rsidP="0053417B"/>
    <w:p w:rsidR="00785933" w:rsidRDefault="00785933" w:rsidP="0053417B">
      <w:r>
        <w:t xml:space="preserve">ČT24 naplánovala pro krajské volby a první kolo senátních voleb 10,5 hodiny mimořádného vysílání v čase 13:30-23:59. Záměrem bylo nabídnout divákům aktuální a průběžná data ze sčítání hlasů kombinovaná s přímými vstupy z volebních štábů stran, pohledy do zákulisí volebního souboje, s analýzami a odbornými komentáři, rozhovory s úspěšnými i neúspěšnými aktéry a s vlastními průzkumy k tematice krajských a senátních voleb. </w:t>
      </w:r>
      <w:r>
        <w:rPr>
          <w:b/>
        </w:rPr>
        <w:t>Volební vysílání patřilo ke zpravodajským prioritám tohoto roku</w:t>
      </w:r>
      <w:r>
        <w:t xml:space="preserve">. Snahou zároveň bylo </w:t>
      </w:r>
      <w:r>
        <w:rPr>
          <w:b/>
        </w:rPr>
        <w:t>oživit tradiční a zavedený model</w:t>
      </w:r>
      <w:r>
        <w:t>, který vychází z dlouhodobých zkušeností celého týmu - proto bylo připraveno např. vlastní přepočítávání výsledků krajských voleb na mandáty, exkluzivní bleskový průzkum o krajích a Senátu, speciální analýzy prezentace stran na nových médiích -  to vše propojené s webem a sociálními sítěmi ČT24 a s patřičnou grafickou výbavou.</w:t>
      </w:r>
    </w:p>
    <w:p w:rsidR="00785933" w:rsidRDefault="00785933" w:rsidP="0053417B">
      <w:r>
        <w:t xml:space="preserve">Všemu výše zmíněnému odpovídalo i nasazení dvou osvědčených profesionálů v roli hlavních moderátorů - </w:t>
      </w:r>
      <w:r>
        <w:rPr>
          <w:b/>
        </w:rPr>
        <w:t>Václava Moravce a Marcely Augustové</w:t>
      </w:r>
      <w:r>
        <w:t xml:space="preserve">. </w:t>
      </w:r>
    </w:p>
    <w:p w:rsidR="00785933" w:rsidRDefault="00785933" w:rsidP="0053417B">
      <w:r>
        <w:t>Pro samotné volební vysílání byla k dispozici dvě vysílací studia (hlavní SK6 a virtuální SK8) v Praze, studio v Brně, Ostravě a Olomouci a všechna regionální studia. ČT24 byla připravena okamžitě vstoupit ze štábů všech relevantních stran a hnutí, případně operativně a rychle tuto možnost využít.  K dispozici byla veškerá přenosová technika, redakční nasazení bylo maximální.</w:t>
      </w:r>
    </w:p>
    <w:p w:rsidR="00785933" w:rsidRDefault="00785933" w:rsidP="0053417B">
      <w:pPr>
        <w:rPr>
          <w:b/>
          <w:u w:val="single"/>
        </w:rPr>
      </w:pPr>
    </w:p>
    <w:p w:rsidR="00785933" w:rsidRDefault="00785933" w:rsidP="0053417B">
      <w:pPr>
        <w:rPr>
          <w:u w:val="single"/>
        </w:rPr>
      </w:pPr>
      <w:r>
        <w:rPr>
          <w:b/>
          <w:u w:val="single"/>
        </w:rPr>
        <w:t xml:space="preserve">Realizace záměru:  </w:t>
      </w:r>
    </w:p>
    <w:p w:rsidR="00785933" w:rsidRDefault="00785933" w:rsidP="00BB0EC6">
      <w:pPr>
        <w:numPr>
          <w:ilvl w:val="0"/>
          <w:numId w:val="10"/>
        </w:numPr>
        <w:spacing w:after="0"/>
        <w:rPr>
          <w:lang w:eastAsia="cs-CZ"/>
        </w:rPr>
      </w:pPr>
      <w:r>
        <w:rPr>
          <w:lang w:eastAsia="cs-CZ"/>
        </w:rPr>
        <w:t xml:space="preserve">Při Studiu Volby 2012 se podařilo odvysílat naplánovaných </w:t>
      </w:r>
      <w:r>
        <w:rPr>
          <w:b/>
          <w:lang w:eastAsia="cs-CZ"/>
        </w:rPr>
        <w:t>10,5 hodiny nepřetržitého vysílání</w:t>
      </w:r>
      <w:r>
        <w:rPr>
          <w:lang w:eastAsia="cs-CZ"/>
        </w:rPr>
        <w:t xml:space="preserve">, včetně monotematických Událostí. </w:t>
      </w:r>
    </w:p>
    <w:p w:rsidR="00785933" w:rsidRDefault="00785933" w:rsidP="00BB0EC6">
      <w:pPr>
        <w:numPr>
          <w:ilvl w:val="0"/>
          <w:numId w:val="10"/>
        </w:numPr>
        <w:spacing w:after="0"/>
        <w:rPr>
          <w:lang w:eastAsia="cs-CZ"/>
        </w:rPr>
      </w:pPr>
      <w:r>
        <w:rPr>
          <w:lang w:eastAsia="cs-CZ"/>
        </w:rPr>
        <w:t xml:space="preserve">Volby byly výjimečné i tím, že se zároveň s krajskými a senátními konaly i doplňovací volby do devíti obecních zastupitelstev, což se projevilo zejména tím, že se opozdilo vyhlášení konečných výsledků po sečtení 100% hlasů.  </w:t>
      </w:r>
    </w:p>
    <w:p w:rsidR="00785933" w:rsidRDefault="00785933" w:rsidP="00BB0EC6">
      <w:pPr>
        <w:numPr>
          <w:ilvl w:val="0"/>
          <w:numId w:val="10"/>
        </w:numPr>
        <w:spacing w:after="0"/>
      </w:pPr>
      <w:r>
        <w:t xml:space="preserve">ČT prezentovala </w:t>
      </w:r>
      <w:r>
        <w:rPr>
          <w:b/>
        </w:rPr>
        <w:t>exkluzivní bleskový průzkum předvolebního mínění</w:t>
      </w:r>
      <w:r>
        <w:t>, jehož výsledky přinášela v průběhu celého volebního vysílání. V průzkumu se tazatelé voličů ptali například na návrhy na změnu volebního systému nebo na rozsah kompetencí krajských zastupitelstev. Agentury se zajímaly i o to, jak lidé znají své hejtmany nebo zda je podle respondentů krajské uspořádání funkční, ale také jak vnímají roli Senátu.</w:t>
      </w:r>
    </w:p>
    <w:p w:rsidR="00785933" w:rsidRDefault="00785933" w:rsidP="00BB0EC6">
      <w:pPr>
        <w:numPr>
          <w:ilvl w:val="0"/>
          <w:numId w:val="10"/>
        </w:numPr>
        <w:spacing w:after="0"/>
        <w:rPr>
          <w:lang w:eastAsia="cs-CZ"/>
        </w:rPr>
      </w:pPr>
      <w:r>
        <w:rPr>
          <w:lang w:eastAsia="cs-CZ"/>
        </w:rPr>
        <w:t xml:space="preserve">Mimořádné vysílání začalo ve 13.30 - půl hodiny před uzavřením volebních místností. V tomto čase vysílání nabídlo zejména historické ohlédnutí za vznikem krajů a Senátu, vzpomínky tehdejších aktérů a soustředilo se také na roli vyšších územně-samosprávných celků a horní komory Parlamentu ČR. </w:t>
      </w:r>
    </w:p>
    <w:p w:rsidR="00785933" w:rsidRDefault="00785933" w:rsidP="00BB0EC6">
      <w:pPr>
        <w:numPr>
          <w:ilvl w:val="0"/>
          <w:numId w:val="10"/>
        </w:numPr>
        <w:spacing w:after="0"/>
        <w:rPr>
          <w:lang w:eastAsia="cs-CZ"/>
        </w:rPr>
      </w:pPr>
      <w:r>
        <w:rPr>
          <w:lang w:eastAsia="cs-CZ"/>
        </w:rPr>
        <w:t xml:space="preserve">V čase 14:00-18:54 se vysílání koncentrovalo zejména na </w:t>
      </w:r>
      <w:r>
        <w:rPr>
          <w:b/>
          <w:lang w:eastAsia="cs-CZ"/>
        </w:rPr>
        <w:t>sčítání hlasů a reakce</w:t>
      </w:r>
      <w:r>
        <w:rPr>
          <w:lang w:eastAsia="cs-CZ"/>
        </w:rPr>
        <w:t>, doplněné ze studia i z terénu komentáři a analýzami hostů z řad politiků, komentátorů, novinářů, politologů, sociologů, ústavních právníků a marketingových specialistů.</w:t>
      </w:r>
    </w:p>
    <w:p w:rsidR="00785933" w:rsidRDefault="00785933" w:rsidP="00BB0EC6">
      <w:pPr>
        <w:numPr>
          <w:ilvl w:val="0"/>
          <w:numId w:val="10"/>
        </w:numPr>
        <w:spacing w:after="0"/>
        <w:rPr>
          <w:lang w:eastAsia="cs-CZ"/>
        </w:rPr>
      </w:pPr>
      <w:r>
        <w:rPr>
          <w:lang w:eastAsia="cs-CZ"/>
        </w:rPr>
        <w:t xml:space="preserve">Večerní blok po 20. hodině patřil zejména </w:t>
      </w:r>
      <w:r>
        <w:rPr>
          <w:b/>
          <w:lang w:eastAsia="cs-CZ"/>
        </w:rPr>
        <w:t>analýzám výsledků a dopadů voleb</w:t>
      </w:r>
      <w:r>
        <w:rPr>
          <w:lang w:eastAsia="cs-CZ"/>
        </w:rPr>
        <w:t>, včetně detailního rozboru a zajímavostí vyplynuvších z jednotlivých krajů nebo volebních okrsků</w:t>
      </w:r>
    </w:p>
    <w:p w:rsidR="00785933" w:rsidRDefault="00785933" w:rsidP="00BB0EC6">
      <w:pPr>
        <w:numPr>
          <w:ilvl w:val="0"/>
          <w:numId w:val="10"/>
        </w:numPr>
        <w:spacing w:after="0"/>
        <w:rPr>
          <w:lang w:eastAsia="cs-CZ"/>
        </w:rPr>
      </w:pPr>
      <w:r>
        <w:rPr>
          <w:lang w:eastAsia="cs-CZ"/>
        </w:rPr>
        <w:t xml:space="preserve">Celkem se ve vysílání kromě politiků vystřídalo 20 hostů </w:t>
      </w:r>
      <w:r>
        <w:rPr>
          <w:i/>
          <w:lang w:eastAsia="cs-CZ"/>
        </w:rPr>
        <w:t xml:space="preserve">(např. ústavní experti Kysela a Gerloch, politologové Lebeda, Kopeček, Havlík, novináři a komentátoři Mitrofanov, Šídlo, místopředseda ČSÚ Stanislav Drápal, mediální experti Charvát a Bystrov atd.) </w:t>
      </w:r>
    </w:p>
    <w:p w:rsidR="00785933" w:rsidRDefault="00785933" w:rsidP="00BB0EC6">
      <w:pPr>
        <w:numPr>
          <w:ilvl w:val="0"/>
          <w:numId w:val="10"/>
        </w:numPr>
        <w:spacing w:after="0"/>
      </w:pPr>
      <w:r>
        <w:t xml:space="preserve">Na volebním vysílání se podílel i úsek </w:t>
      </w:r>
      <w:r>
        <w:rPr>
          <w:b/>
        </w:rPr>
        <w:t>Nová média</w:t>
      </w:r>
      <w:r>
        <w:t>, který zpracoval předvolební komunikaci stran na sociálních sítích, analyzoval jejich internetové kampaně a zpracoval i zajímavosti a aktuální dění z Facebooku, Twitteru a internetových chatů.  Skladbu volebního servisu ČT doplnily i on-line reportáže ze sčítání hlasů na zpravodajském portálu ČT24, kde čtenáři našli i dynamické grafy a veškeré hlavní volební zpravodajství.</w:t>
      </w:r>
    </w:p>
    <w:p w:rsidR="00785933" w:rsidRDefault="00785933" w:rsidP="00BB0EC6">
      <w:pPr>
        <w:numPr>
          <w:ilvl w:val="0"/>
          <w:numId w:val="10"/>
        </w:numPr>
        <w:spacing w:after="0"/>
        <w:rPr>
          <w:b/>
        </w:rPr>
      </w:pPr>
      <w:r>
        <w:t xml:space="preserve">Základní parametry </w:t>
      </w:r>
      <w:r>
        <w:rPr>
          <w:b/>
        </w:rPr>
        <w:t xml:space="preserve">sledovanosti </w:t>
      </w:r>
      <w:r>
        <w:t>Volebního studia</w:t>
      </w:r>
      <w:r>
        <w:rPr>
          <w:b/>
        </w:rPr>
        <w:t>:</w:t>
      </w:r>
    </w:p>
    <w:p w:rsidR="00785933" w:rsidRDefault="00785933" w:rsidP="00BB0EC6">
      <w:pPr>
        <w:numPr>
          <w:ilvl w:val="0"/>
          <w:numId w:val="11"/>
        </w:numPr>
        <w:spacing w:after="0"/>
      </w:pPr>
      <w:r>
        <w:t xml:space="preserve">Studio Volby 2012 zasáhlo (reach 3´)na ČT24  </w:t>
      </w:r>
      <w:r>
        <w:rPr>
          <w:b/>
        </w:rPr>
        <w:t>2 122 000 diváků</w:t>
      </w:r>
      <w:r>
        <w:t xml:space="preserve">. </w:t>
      </w:r>
    </w:p>
    <w:p w:rsidR="00785933" w:rsidRDefault="00785933" w:rsidP="00BB0EC6">
      <w:pPr>
        <w:numPr>
          <w:ilvl w:val="0"/>
          <w:numId w:val="11"/>
        </w:numPr>
        <w:spacing w:after="0"/>
      </w:pPr>
      <w:r>
        <w:t xml:space="preserve">Samotné vysílání sledovalo v průměru 279 tisíc diváků - to představuje skoro dvanáctiprocentní podíl na publiku. </w:t>
      </w:r>
    </w:p>
    <w:p w:rsidR="00785933" w:rsidRDefault="00785933" w:rsidP="00BB0EC6">
      <w:pPr>
        <w:numPr>
          <w:ilvl w:val="0"/>
          <w:numId w:val="11"/>
        </w:numPr>
        <w:spacing w:after="0"/>
        <w:rPr>
          <w:lang w:eastAsia="cs-CZ"/>
        </w:rPr>
      </w:pPr>
      <w:r>
        <w:t xml:space="preserve">Nejsledovanější </w:t>
      </w:r>
      <w:r>
        <w:rPr>
          <w:lang w:eastAsia="cs-CZ"/>
        </w:rPr>
        <w:t xml:space="preserve">částí volebního vysílání se stal blok mezi 17.10-18.55 hodin, který průměrně sledovalo 533 tisíc dospělých diváků, což představuje 24,14 % podílu na sledovanosti. </w:t>
      </w:r>
    </w:p>
    <w:p w:rsidR="00785933" w:rsidRDefault="00785933" w:rsidP="00BB0EC6">
      <w:pPr>
        <w:numPr>
          <w:ilvl w:val="0"/>
          <w:numId w:val="12"/>
        </w:numPr>
        <w:spacing w:after="0"/>
        <w:rPr>
          <w:lang w:eastAsia="cs-CZ"/>
        </w:rPr>
      </w:pPr>
      <w:r>
        <w:rPr>
          <w:lang w:eastAsia="cs-CZ"/>
        </w:rPr>
        <w:t xml:space="preserve">Hlavní zpravodajská relace </w:t>
      </w:r>
      <w:r>
        <w:rPr>
          <w:b/>
          <w:lang w:eastAsia="cs-CZ"/>
        </w:rPr>
        <w:t>ČT Události</w:t>
      </w:r>
      <w:r>
        <w:rPr>
          <w:lang w:eastAsia="cs-CZ"/>
        </w:rPr>
        <w:t xml:space="preserve"> byla 13. 10. vysílána monotematicky s částečnou moderací z terénu a s následujícími parametry sledovanosti:</w:t>
      </w:r>
    </w:p>
    <w:p w:rsidR="00785933" w:rsidRDefault="00785933" w:rsidP="00BB0EC6">
      <w:pPr>
        <w:spacing w:after="0"/>
        <w:ind w:left="720"/>
        <w:rPr>
          <w:lang w:eastAsia="cs-CZ"/>
        </w:rPr>
      </w:pPr>
    </w:p>
    <w:tbl>
      <w:tblPr>
        <w:tblW w:w="984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846"/>
        <w:gridCol w:w="1171"/>
        <w:gridCol w:w="754"/>
        <w:gridCol w:w="852"/>
        <w:gridCol w:w="683"/>
        <w:gridCol w:w="636"/>
        <w:gridCol w:w="570"/>
        <w:gridCol w:w="596"/>
        <w:gridCol w:w="663"/>
        <w:gridCol w:w="972"/>
        <w:gridCol w:w="1097"/>
      </w:tblGrid>
      <w:tr w:rsidR="00785933" w:rsidRPr="00C666F9" w:rsidTr="0053417B">
        <w:trPr>
          <w:trHeight w:val="316"/>
        </w:trPr>
        <w:tc>
          <w:tcPr>
            <w:tcW w:w="59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6F9">
              <w:rPr>
                <w:b/>
                <w:bCs/>
                <w:color w:val="000000"/>
                <w:sz w:val="24"/>
                <w:szCs w:val="24"/>
                <w:lang w:eastAsia="cs-CZ"/>
              </w:rPr>
              <w:t>UDÁLOSTI 13. 10. 2012</w:t>
            </w:r>
          </w:p>
        </w:tc>
        <w:tc>
          <w:tcPr>
            <w:tcW w:w="38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C666F9">
              <w:rPr>
                <w:b/>
                <w:bCs/>
                <w:color w:val="000000"/>
                <w:lang w:eastAsia="cs-CZ"/>
              </w:rPr>
              <w:t>SLEDOVANOST 15+</w:t>
            </w:r>
          </w:p>
        </w:tc>
      </w:tr>
      <w:tr w:rsidR="00785933" w:rsidRPr="00C666F9" w:rsidTr="0053417B">
        <w:trPr>
          <w:trHeight w:val="301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6F9">
              <w:rPr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6F9">
              <w:rPr>
                <w:b/>
                <w:bCs/>
                <w:color w:val="000000"/>
                <w:sz w:val="20"/>
                <w:szCs w:val="20"/>
                <w:lang w:eastAsia="cs-CZ"/>
              </w:rPr>
              <w:t>Kanál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6F9">
              <w:rPr>
                <w:b/>
                <w:bCs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6F9">
              <w:rPr>
                <w:b/>
                <w:bCs/>
                <w:color w:val="000000"/>
                <w:sz w:val="20"/>
                <w:szCs w:val="20"/>
                <w:lang w:eastAsia="cs-CZ"/>
              </w:rPr>
              <w:t>Začátek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6F9">
              <w:rPr>
                <w:b/>
                <w:bCs/>
                <w:color w:val="000000"/>
                <w:sz w:val="20"/>
                <w:szCs w:val="20"/>
                <w:lang w:eastAsia="cs-CZ"/>
              </w:rPr>
              <w:t>Konec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6F9">
              <w:rPr>
                <w:b/>
                <w:bCs/>
                <w:color w:val="000000"/>
                <w:sz w:val="20"/>
                <w:szCs w:val="20"/>
                <w:lang w:eastAsia="cs-CZ"/>
              </w:rPr>
              <w:t>Délka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6F9">
              <w:rPr>
                <w:b/>
                <w:bCs/>
                <w:color w:val="000000"/>
                <w:sz w:val="20"/>
                <w:szCs w:val="20"/>
                <w:lang w:eastAsia="cs-CZ"/>
              </w:rPr>
              <w:t>Rat%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6F9">
              <w:rPr>
                <w:b/>
                <w:bCs/>
                <w:color w:val="000000"/>
                <w:sz w:val="20"/>
                <w:szCs w:val="20"/>
                <w:lang w:eastAsia="cs-CZ"/>
              </w:rPr>
              <w:t>Rat#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6F9">
              <w:rPr>
                <w:b/>
                <w:bCs/>
                <w:color w:val="000000"/>
                <w:sz w:val="20"/>
                <w:szCs w:val="20"/>
                <w:lang w:eastAsia="cs-CZ"/>
              </w:rPr>
              <w:t>Shr%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6F9">
              <w:rPr>
                <w:b/>
                <w:bCs/>
                <w:color w:val="000000"/>
                <w:sz w:val="20"/>
                <w:szCs w:val="20"/>
                <w:lang w:eastAsia="cs-CZ"/>
              </w:rPr>
              <w:t>Reach# *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6F9">
              <w:rPr>
                <w:b/>
                <w:bCs/>
                <w:color w:val="000000"/>
                <w:sz w:val="20"/>
                <w:szCs w:val="20"/>
                <w:lang w:eastAsia="cs-CZ"/>
              </w:rPr>
              <w:t>Reach# **</w:t>
            </w:r>
          </w:p>
        </w:tc>
      </w:tr>
      <w:tr w:rsidR="00785933" w:rsidRPr="00C666F9" w:rsidTr="0053417B">
        <w:trPr>
          <w:trHeight w:val="288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Události ČT1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ČT1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13.10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19:00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19:45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0:45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7,7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676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21,02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1 192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783</w:t>
            </w:r>
          </w:p>
        </w:tc>
      </w:tr>
      <w:tr w:rsidR="00785933" w:rsidRPr="00C666F9" w:rsidTr="0053417B">
        <w:trPr>
          <w:trHeight w:val="301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Události ČT24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ČT24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13.10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19:00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19:45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0:45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4,0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349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10,86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582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407</w:t>
            </w:r>
          </w:p>
        </w:tc>
      </w:tr>
      <w:tr w:rsidR="00785933" w:rsidRPr="00C666F9" w:rsidTr="0053417B">
        <w:trPr>
          <w:trHeight w:val="301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Události celkem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ČT1+ČT24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13.10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19:00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19:45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0:45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11,7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1025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31,88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1 639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1 161</w:t>
            </w:r>
          </w:p>
        </w:tc>
      </w:tr>
    </w:tbl>
    <w:p w:rsidR="00785933" w:rsidRDefault="00785933" w:rsidP="0053417B">
      <w:pPr>
        <w:ind w:left="720"/>
        <w:rPr>
          <w:lang w:eastAsia="cs-CZ"/>
        </w:rPr>
      </w:pPr>
    </w:p>
    <w:p w:rsidR="00785933" w:rsidRPr="00BB0EC6" w:rsidRDefault="00785933" w:rsidP="00BB0EC6">
      <w:pPr>
        <w:pStyle w:val="Heading2"/>
        <w:numPr>
          <w:ilvl w:val="1"/>
          <w:numId w:val="17"/>
        </w:numPr>
        <w:ind w:left="426"/>
      </w:pPr>
      <w:r w:rsidRPr="00BB0EC6">
        <w:t>SENÁTNÍ DUELY 15. 10. – 18. 10. 2012</w:t>
      </w:r>
    </w:p>
    <w:p w:rsidR="00785933" w:rsidRDefault="00785933" w:rsidP="0053417B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Příprava druhého kola senátních voleb začala ihned v sobotu 13. 10., kdy byly jasné dvojice kandidátů, kteří postoupili z kola prvního. Od pondělí 15. 10. do čtvrtka 18. 10. bylo v rámci Studia ČT24 odvysíláno </w:t>
      </w:r>
      <w:r>
        <w:rPr>
          <w:rFonts w:cs="Arial"/>
          <w:b/>
        </w:rPr>
        <w:t>27 kandidátských duelů</w:t>
      </w:r>
      <w:r>
        <w:rPr>
          <w:rFonts w:cs="Arial"/>
        </w:rPr>
        <w:t>. Pro každou dvojici byl vyhrazen čas 15 minut v tomto časovém rozmezí:</w:t>
      </w:r>
    </w:p>
    <w:p w:rsidR="00785933" w:rsidRDefault="00785933" w:rsidP="0053417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 xml:space="preserve">12:45 </w:t>
      </w:r>
      <w:r>
        <w:rPr>
          <w:rFonts w:cs="Tahoma"/>
          <w:lang w:val="en-US"/>
        </w:rPr>
        <w:t>–</w:t>
      </w:r>
      <w:r>
        <w:rPr>
          <w:lang w:val="en-US"/>
        </w:rPr>
        <w:t xml:space="preserve"> 13:00</w:t>
      </w:r>
    </w:p>
    <w:p w:rsidR="00785933" w:rsidRDefault="00785933" w:rsidP="0053417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 xml:space="preserve">13:35 </w:t>
      </w:r>
      <w:r>
        <w:rPr>
          <w:rFonts w:cs="Tahoma"/>
          <w:lang w:val="en-US"/>
        </w:rPr>
        <w:t>–</w:t>
      </w:r>
      <w:r>
        <w:rPr>
          <w:lang w:val="en-US"/>
        </w:rPr>
        <w:t xml:space="preserve"> 13:50</w:t>
      </w:r>
    </w:p>
    <w:p w:rsidR="00785933" w:rsidRDefault="00785933" w:rsidP="0053417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 xml:space="preserve">14:35 </w:t>
      </w:r>
      <w:r>
        <w:rPr>
          <w:rFonts w:cs="Tahoma"/>
          <w:lang w:val="en-US"/>
        </w:rPr>
        <w:t>–</w:t>
      </w:r>
      <w:r>
        <w:rPr>
          <w:lang w:val="en-US"/>
        </w:rPr>
        <w:t xml:space="preserve"> 14:50</w:t>
      </w:r>
    </w:p>
    <w:p w:rsidR="00785933" w:rsidRDefault="00785933" w:rsidP="0053417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 xml:space="preserve">15:35 </w:t>
      </w:r>
      <w:r>
        <w:rPr>
          <w:rFonts w:cs="Tahoma"/>
          <w:lang w:val="en-US"/>
        </w:rPr>
        <w:t>–</w:t>
      </w:r>
      <w:r>
        <w:rPr>
          <w:lang w:val="en-US"/>
        </w:rPr>
        <w:t xml:space="preserve"> 15:50</w:t>
      </w:r>
    </w:p>
    <w:p w:rsidR="00785933" w:rsidRDefault="00785933" w:rsidP="0053417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 xml:space="preserve">16:30 </w:t>
      </w:r>
      <w:r>
        <w:rPr>
          <w:rFonts w:cs="Tahoma"/>
          <w:lang w:val="en-US"/>
        </w:rPr>
        <w:t>–</w:t>
      </w:r>
      <w:r>
        <w:rPr>
          <w:lang w:val="en-US"/>
        </w:rPr>
        <w:t xml:space="preserve"> 16:45</w:t>
      </w:r>
    </w:p>
    <w:p w:rsidR="00785933" w:rsidRDefault="00785933" w:rsidP="0053417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lang w:val="en-US"/>
        </w:rPr>
        <w:t xml:space="preserve">17:15 </w:t>
      </w:r>
      <w:r>
        <w:rPr>
          <w:rFonts w:cs="Tahoma"/>
          <w:lang w:val="en-US"/>
        </w:rPr>
        <w:t>–</w:t>
      </w:r>
      <w:r>
        <w:rPr>
          <w:lang w:val="en-US"/>
        </w:rPr>
        <w:t xml:space="preserve"> 17:30</w:t>
      </w:r>
    </w:p>
    <w:p w:rsidR="00785933" w:rsidRDefault="00785933" w:rsidP="0053417B">
      <w:pPr>
        <w:autoSpaceDE w:val="0"/>
        <w:autoSpaceDN w:val="0"/>
        <w:adjustRightInd w:val="0"/>
        <w:spacing w:after="0" w:line="240" w:lineRule="auto"/>
      </w:pPr>
      <w:r>
        <w:t xml:space="preserve">21:05 </w:t>
      </w:r>
      <w:r>
        <w:rPr>
          <w:rFonts w:cs="Tahoma"/>
          <w:lang w:val="en-US"/>
        </w:rPr>
        <w:t>–</w:t>
      </w:r>
      <w:r>
        <w:t xml:space="preserve"> 21:20</w:t>
      </w:r>
    </w:p>
    <w:p w:rsidR="00785933" w:rsidRDefault="00785933" w:rsidP="0053417B">
      <w:pPr>
        <w:autoSpaceDE w:val="0"/>
        <w:autoSpaceDN w:val="0"/>
        <w:adjustRightInd w:val="0"/>
      </w:pPr>
    </w:p>
    <w:p w:rsidR="00785933" w:rsidRDefault="00785933" w:rsidP="00BB0EC6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Arial"/>
        </w:rPr>
      </w:pPr>
      <w:r w:rsidRPr="00A97DB3">
        <w:rPr>
          <w:rFonts w:cs="Arial"/>
        </w:rPr>
        <w:t>Po</w:t>
      </w:r>
      <w:r>
        <w:rPr>
          <w:rFonts w:cs="Arial"/>
        </w:rPr>
        <w:t xml:space="preserve">řadí duelů bylo stanoveno </w:t>
      </w:r>
      <w:r>
        <w:rPr>
          <w:rFonts w:cs="Arial"/>
          <w:b/>
        </w:rPr>
        <w:t>podle čísel obvodů</w:t>
      </w:r>
      <w:r>
        <w:rPr>
          <w:rFonts w:cs="Arial"/>
        </w:rPr>
        <w:t xml:space="preserve">, ve kterých se volby konaly, od nejnižšího k nejvyššímu. </w:t>
      </w:r>
    </w:p>
    <w:p w:rsidR="00785933" w:rsidRDefault="00785933" w:rsidP="00BB0EC6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  <w:b/>
        </w:rPr>
        <w:t>Stanovené pořadí nebylo až na jednu výjimku změněno</w:t>
      </w:r>
      <w:r>
        <w:rPr>
          <w:rFonts w:cs="Arial"/>
        </w:rPr>
        <w:t>. V jednom případě, kdy byl kandidát v USA, bylo pořadí po souhlasu všech zainteresovaných změněno. Pro dalšího kandidáta byl zajištěn živý vstup ze sídla Rady Evropy ve Štrasburku, kde byl na služební cestě.</w:t>
      </w:r>
    </w:p>
    <w:p w:rsidR="00785933" w:rsidRDefault="00785933" w:rsidP="00BB0EC6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 xml:space="preserve">Pokud kandidáti nemohli přijet do pražského studia, vstupovali </w:t>
      </w:r>
      <w:r>
        <w:rPr>
          <w:rFonts w:cs="Arial"/>
          <w:b/>
        </w:rPr>
        <w:t>z regionálních studií zpravodajství ČT</w:t>
      </w:r>
      <w:r>
        <w:rPr>
          <w:rFonts w:cs="Arial"/>
        </w:rPr>
        <w:t xml:space="preserve"> nebo přes přenosový vůz DSNG, případně přes telefon. </w:t>
      </w:r>
    </w:p>
    <w:p w:rsidR="00785933" w:rsidRDefault="00785933" w:rsidP="00BB0EC6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 xml:space="preserve">Rozhovory s hosty byly vedeny </w:t>
      </w:r>
      <w:r>
        <w:rPr>
          <w:rFonts w:cs="Arial"/>
          <w:b/>
        </w:rPr>
        <w:t>částečně na předem daná témata</w:t>
      </w:r>
      <w:r>
        <w:rPr>
          <w:rFonts w:cs="Arial"/>
        </w:rPr>
        <w:t xml:space="preserve"> (např.: skloubení dosavadní práce s prací senátora; usilování o voliče kandidátů, kteří nepostoupili; postoj k aktuální politické situaci – jak se např. staví ke klíčovému zákonu o DPH, se kterým vláda spojila důvěru; které hlavní věci chtějí v případě zvolení prosadit; názor na instituci Senátu v našem politickém systému). Další okruh představovala </w:t>
      </w:r>
      <w:r>
        <w:rPr>
          <w:rFonts w:cs="Arial"/>
          <w:b/>
        </w:rPr>
        <w:t>témata specifická</w:t>
      </w:r>
      <w:r>
        <w:rPr>
          <w:rFonts w:cs="Arial"/>
        </w:rPr>
        <w:t xml:space="preserve"> pro konkrétního kandidáta</w:t>
      </w:r>
    </w:p>
    <w:p w:rsidR="00785933" w:rsidRDefault="00785933" w:rsidP="0053417B">
      <w:pPr>
        <w:autoSpaceDE w:val="0"/>
        <w:autoSpaceDN w:val="0"/>
        <w:adjustRightInd w:val="0"/>
        <w:rPr>
          <w:rFonts w:cs="Arial"/>
          <w:b/>
        </w:rPr>
      </w:pPr>
    </w:p>
    <w:p w:rsidR="00785933" w:rsidRPr="00BB0EC6" w:rsidRDefault="00785933" w:rsidP="00BB0EC6">
      <w:pPr>
        <w:pStyle w:val="Heading2"/>
        <w:numPr>
          <w:ilvl w:val="1"/>
          <w:numId w:val="17"/>
        </w:numPr>
        <w:ind w:left="426"/>
      </w:pPr>
      <w:r w:rsidRPr="00BB0EC6">
        <w:t>VOLEBNÍ STUDIO ČT24 - 20. 10. 2012</w:t>
      </w:r>
    </w:p>
    <w:p w:rsidR="00785933" w:rsidRDefault="00785933" w:rsidP="00BB0EC6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Vysílání v den voleb 20. 10. začalo v 13:30 a nepřetržitě pokračovalo až do začátku hlavní zpravodajské relace České televize Události v 19:00</w:t>
      </w:r>
    </w:p>
    <w:p w:rsidR="00785933" w:rsidRDefault="00785933" w:rsidP="00BB0EC6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 xml:space="preserve">Moderátory byli </w:t>
      </w:r>
      <w:r>
        <w:rPr>
          <w:rFonts w:cs="Arial"/>
          <w:b/>
        </w:rPr>
        <w:t>Marcela Augustová</w:t>
      </w:r>
      <w:r>
        <w:rPr>
          <w:rFonts w:cs="Arial"/>
        </w:rPr>
        <w:t xml:space="preserve"> a </w:t>
      </w:r>
      <w:r>
        <w:rPr>
          <w:rFonts w:cs="Arial"/>
          <w:b/>
        </w:rPr>
        <w:t>Václav Moravec</w:t>
      </w:r>
    </w:p>
    <w:p w:rsidR="00785933" w:rsidRDefault="00785933" w:rsidP="00BB0EC6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 xml:space="preserve">Dramaturgie vysílání stavěla na prezentaci grafů s </w:t>
      </w:r>
      <w:r>
        <w:rPr>
          <w:rFonts w:cs="Arial"/>
          <w:b/>
        </w:rPr>
        <w:t>průběžnými a konečnými výsledky</w:t>
      </w:r>
      <w:r>
        <w:rPr>
          <w:rFonts w:cs="Arial"/>
        </w:rPr>
        <w:t xml:space="preserve"> z virtuálního studia SK8, reportérských živých vstupech z volebních místností a volebních štábů politických stran, rozhovory s některými kandidáty (při zachování stranické a regionální různorodosti) a komentátory ve studiu SK6 </w:t>
      </w:r>
    </w:p>
    <w:p w:rsidR="00785933" w:rsidRDefault="00785933" w:rsidP="00BB0EC6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Živé vstupy se uskutečnily z volebních místností v Praze 8, z Ratiboře u Vsetína a z Bohumína. Pokud jde o štáby politických stran, tak šlo o sídla ČSSD, ODS a KSČM. Jiné strany volební štáby neměly, proto se rozhovory s představiteli dalších stran odehrály v samostatných živých vstupech</w:t>
      </w:r>
    </w:p>
    <w:p w:rsidR="00785933" w:rsidRDefault="00785933" w:rsidP="00BB0EC6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V průběhu odpoledne se volební studia ČT24 podle volebních výsledků spojovala s jednotlivými kandidáty (J. Dolejš, D. Filipiová, J. Čunek, J. Kubera, E. Syková, E. Wagnerová, T. Okamura, L. Sulovský, J. Šesták).</w:t>
      </w:r>
    </w:p>
    <w:p w:rsidR="00785933" w:rsidRDefault="00785933" w:rsidP="00BB0EC6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 xml:space="preserve">Ve studiu SK6 se vystřídali: politolog Michal Klíma z Metropolitní univerzity v Praze, komentátor Lidových novin Petr Kamberský, ředitel STEM/MARK Jan Tuček, bývalý poradce premiéra pro lidská práva a zahraniční politiku Roman Joch, politolog Jiří Pehe z New York University in Prague, profesor politické sociologie z Univerzity v Terstu v Itálii Václav Bělohradský, ekonom Jiří Rusnok, člen Národní ekonomické rady vlády a Stanislav Drápal, místopředseda Českého statistického úřadu, který divákům komentoval průběh celého sčítání hlasů. </w:t>
      </w:r>
    </w:p>
    <w:p w:rsidR="00785933" w:rsidRDefault="00785933" w:rsidP="00BB0EC6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Základní parametry sledovanosti:</w:t>
      </w:r>
    </w:p>
    <w:p w:rsidR="00785933" w:rsidRDefault="00785933" w:rsidP="00BB0EC6">
      <w:pPr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Reach (3´)  1029 tis.</w:t>
      </w:r>
    </w:p>
    <w:p w:rsidR="00785933" w:rsidRDefault="00785933" w:rsidP="00BB0EC6">
      <w:pPr>
        <w:numPr>
          <w:ilvl w:val="1"/>
          <w:numId w:val="14"/>
        </w:num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Vysílání v průměru sledovalo 180 000 diváků při podílu na publiku 12,36%</w:t>
      </w:r>
    </w:p>
    <w:p w:rsidR="00785933" w:rsidRDefault="00785933" w:rsidP="00BB0EC6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>Hlavní zpravodajská relace ČT se průběhem a výsledky 2. Senátních voleb věnovala na více než polovině vysílacího času s částečnou moderací terénu a následujícími výsledky sledovanosti:</w:t>
      </w:r>
    </w:p>
    <w:p w:rsidR="00785933" w:rsidRDefault="00785933" w:rsidP="00BB0EC6">
      <w:pPr>
        <w:autoSpaceDE w:val="0"/>
        <w:autoSpaceDN w:val="0"/>
        <w:adjustRightInd w:val="0"/>
        <w:spacing w:after="0"/>
        <w:ind w:left="720"/>
        <w:rPr>
          <w:rFonts w:cs="Arial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801"/>
        <w:gridCol w:w="1143"/>
        <w:gridCol w:w="736"/>
        <w:gridCol w:w="832"/>
        <w:gridCol w:w="666"/>
        <w:gridCol w:w="619"/>
        <w:gridCol w:w="570"/>
        <w:gridCol w:w="521"/>
        <w:gridCol w:w="661"/>
        <w:gridCol w:w="968"/>
        <w:gridCol w:w="1093"/>
      </w:tblGrid>
      <w:tr w:rsidR="00785933" w:rsidRPr="00C666F9" w:rsidTr="0053417B">
        <w:trPr>
          <w:trHeight w:val="289"/>
        </w:trPr>
        <w:tc>
          <w:tcPr>
            <w:tcW w:w="57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666F9">
              <w:rPr>
                <w:b/>
                <w:bCs/>
                <w:color w:val="000000"/>
                <w:sz w:val="24"/>
                <w:szCs w:val="24"/>
                <w:lang w:eastAsia="cs-CZ"/>
              </w:rPr>
              <w:t>UDÁLOSTI 20. 10. 2012</w:t>
            </w:r>
          </w:p>
        </w:tc>
        <w:tc>
          <w:tcPr>
            <w:tcW w:w="38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lang w:eastAsia="cs-CZ"/>
              </w:rPr>
            </w:pPr>
            <w:r w:rsidRPr="00C666F9">
              <w:rPr>
                <w:b/>
                <w:bCs/>
                <w:color w:val="000000"/>
                <w:lang w:eastAsia="cs-CZ"/>
              </w:rPr>
              <w:t>SLEDOVANOST 15+</w:t>
            </w:r>
          </w:p>
        </w:tc>
      </w:tr>
      <w:tr w:rsidR="00785933" w:rsidRPr="00C666F9" w:rsidTr="0053417B">
        <w:trPr>
          <w:trHeight w:val="27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6F9">
              <w:rPr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6F9">
              <w:rPr>
                <w:b/>
                <w:bCs/>
                <w:color w:val="000000"/>
                <w:sz w:val="20"/>
                <w:szCs w:val="20"/>
                <w:lang w:eastAsia="cs-CZ"/>
              </w:rPr>
              <w:t>Kanál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6F9">
              <w:rPr>
                <w:b/>
                <w:bCs/>
                <w:color w:val="00000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6F9">
              <w:rPr>
                <w:b/>
                <w:bCs/>
                <w:color w:val="000000"/>
                <w:sz w:val="20"/>
                <w:szCs w:val="20"/>
                <w:lang w:eastAsia="cs-CZ"/>
              </w:rPr>
              <w:t>Začátek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6F9">
              <w:rPr>
                <w:b/>
                <w:bCs/>
                <w:color w:val="000000"/>
                <w:sz w:val="20"/>
                <w:szCs w:val="20"/>
                <w:lang w:eastAsia="cs-CZ"/>
              </w:rPr>
              <w:t>Konec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6F9">
              <w:rPr>
                <w:b/>
                <w:bCs/>
                <w:color w:val="000000"/>
                <w:sz w:val="20"/>
                <w:szCs w:val="20"/>
                <w:lang w:eastAsia="cs-CZ"/>
              </w:rPr>
              <w:t>Délka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6F9">
              <w:rPr>
                <w:b/>
                <w:bCs/>
                <w:color w:val="000000"/>
                <w:sz w:val="20"/>
                <w:szCs w:val="20"/>
                <w:lang w:eastAsia="cs-CZ"/>
              </w:rPr>
              <w:t>Rat%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6F9">
              <w:rPr>
                <w:b/>
                <w:bCs/>
                <w:color w:val="000000"/>
                <w:sz w:val="20"/>
                <w:szCs w:val="20"/>
                <w:lang w:eastAsia="cs-CZ"/>
              </w:rPr>
              <w:t>Rat#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6F9">
              <w:rPr>
                <w:b/>
                <w:bCs/>
                <w:color w:val="000000"/>
                <w:sz w:val="20"/>
                <w:szCs w:val="20"/>
                <w:lang w:eastAsia="cs-CZ"/>
              </w:rPr>
              <w:t>Shr%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6F9">
              <w:rPr>
                <w:b/>
                <w:bCs/>
                <w:color w:val="000000"/>
                <w:sz w:val="20"/>
                <w:szCs w:val="20"/>
                <w:lang w:eastAsia="cs-CZ"/>
              </w:rPr>
              <w:t>Reach# *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666F9">
              <w:rPr>
                <w:b/>
                <w:bCs/>
                <w:color w:val="000000"/>
                <w:sz w:val="20"/>
                <w:szCs w:val="20"/>
                <w:lang w:eastAsia="cs-CZ"/>
              </w:rPr>
              <w:t>Reach# **</w:t>
            </w:r>
          </w:p>
        </w:tc>
      </w:tr>
      <w:tr w:rsidR="00785933" w:rsidRPr="00C666F9" w:rsidTr="0053417B">
        <w:trPr>
          <w:trHeight w:val="262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Události ČT1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ČT1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20.10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19:00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19:45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0:45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7,2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631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20,36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1 114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734</w:t>
            </w:r>
          </w:p>
        </w:tc>
      </w:tr>
      <w:tr w:rsidR="00785933" w:rsidRPr="00C666F9" w:rsidTr="0053417B">
        <w:trPr>
          <w:trHeight w:val="27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Události ČT24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ČT24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20.10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19:00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19:45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0:45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2,4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211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6,81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436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230</w:t>
            </w:r>
          </w:p>
        </w:tc>
      </w:tr>
      <w:tr w:rsidR="00785933" w:rsidRPr="00C666F9" w:rsidTr="0053417B">
        <w:trPr>
          <w:trHeight w:val="27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Události celkem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ČT1+ČT24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20.10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19:00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19:45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0:45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9,6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842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27,17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1 405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85933" w:rsidRPr="00C666F9" w:rsidRDefault="00785933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C666F9">
              <w:rPr>
                <w:color w:val="000000"/>
                <w:lang w:eastAsia="cs-CZ"/>
              </w:rPr>
              <w:t>955</w:t>
            </w:r>
          </w:p>
        </w:tc>
      </w:tr>
    </w:tbl>
    <w:p w:rsidR="00785933" w:rsidRDefault="00785933" w:rsidP="0053417B">
      <w:pPr>
        <w:autoSpaceDE w:val="0"/>
        <w:autoSpaceDN w:val="0"/>
        <w:adjustRightInd w:val="0"/>
        <w:ind w:left="720"/>
        <w:rPr>
          <w:rFonts w:cs="Arial"/>
        </w:rPr>
      </w:pPr>
    </w:p>
    <w:p w:rsidR="00785933" w:rsidRDefault="00785933" w:rsidP="00767058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785933" w:rsidRDefault="00785933" w:rsidP="00767058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785933" w:rsidRDefault="00785933" w:rsidP="00767058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785933" w:rsidRDefault="00785933" w:rsidP="00767058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785933" w:rsidRDefault="00785933" w:rsidP="00767058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785933" w:rsidRDefault="00785933" w:rsidP="00767058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785933" w:rsidRDefault="00785933" w:rsidP="00767058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785933" w:rsidRDefault="00785933" w:rsidP="00767058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785933" w:rsidRPr="0053417B" w:rsidRDefault="00785933" w:rsidP="00BB0EC6">
      <w:pPr>
        <w:pStyle w:val="Heading1"/>
        <w:numPr>
          <w:ilvl w:val="0"/>
          <w:numId w:val="16"/>
        </w:numPr>
        <w:pBdr>
          <w:bottom w:val="single" w:sz="4" w:space="1" w:color="auto"/>
        </w:pBdr>
        <w:ind w:left="426"/>
      </w:pPr>
      <w:r>
        <w:t xml:space="preserve">Vyhodnocení série výzkumů veřejného mínění </w:t>
      </w:r>
      <w:r w:rsidRPr="0053417B">
        <w:t xml:space="preserve">SC&amp;C a STEM/MARK </w:t>
      </w:r>
    </w:p>
    <w:p w:rsidR="00785933" w:rsidRPr="00BB0EC6" w:rsidRDefault="00785933" w:rsidP="00BB0EC6">
      <w:pPr>
        <w:pStyle w:val="ListParagraph"/>
        <w:keepNext/>
        <w:keepLines/>
        <w:numPr>
          <w:ilvl w:val="0"/>
          <w:numId w:val="17"/>
        </w:numPr>
        <w:spacing w:before="200" w:after="0"/>
        <w:contextualSpacing w:val="0"/>
        <w:outlineLvl w:val="1"/>
        <w:rPr>
          <w:rFonts w:ascii="Cambria" w:hAnsi="Cambria"/>
          <w:b/>
          <w:bCs/>
          <w:vanish/>
          <w:color w:val="4F81BD"/>
          <w:sz w:val="26"/>
          <w:szCs w:val="26"/>
        </w:rPr>
      </w:pPr>
    </w:p>
    <w:p w:rsidR="00785933" w:rsidRDefault="00785933" w:rsidP="00767058"/>
    <w:p w:rsidR="00785933" w:rsidRDefault="00785933" w:rsidP="00767058">
      <w:r>
        <w:t>Následující materiál představuje základními aspekty série výzkumů veřejného mínění realizovanýchpro před volbami do zastupitelstev krajů v roce 2012. Pojednává o metodice výzkumu, přibližuje způsob spolupráce České televize a spolupracujících subjektů, způsob výpočtu tzv. volebního modelu a rekapituluje základní výsledky výzkumu.</w:t>
      </w:r>
    </w:p>
    <w:p w:rsidR="00785933" w:rsidRDefault="00785933" w:rsidP="0089627E">
      <w:r>
        <w:t xml:space="preserve">Ambicí výzkumu realizovaného Českou televizí </w:t>
      </w:r>
      <w:r w:rsidRPr="005D48C8">
        <w:rPr>
          <w:b/>
        </w:rPr>
        <w:t>nebyla prognóza skutečného výsledku voleb</w:t>
      </w:r>
      <w:r>
        <w:t xml:space="preserve">, jak nám bylo z mnoha stran před volbami i po nich podsouváno. Vzhledem k tomu, že politická scéna a společnost jsou elementy velmi dynamické, není možné často mnoho týdnů před volbami relevantně predikovat jejich výsledek v jednotlivých krajích. V moci sociologů, statistiků a politologů, byť by byli sebeerudovanější, není vytvořit takový prediktivní model,který by byl schopen do sebe zahrnout byť jen podstatné faktory mající vliv na výsledek voleb. Navíc v době, kdy vzhledem k narůstající rozmělněnosti a neurčitosti politické scény neustále </w:t>
      </w:r>
      <w:r>
        <w:rPr>
          <w:rFonts w:cs="Arial"/>
          <w:color w:val="000000"/>
        </w:rPr>
        <w:t xml:space="preserve">stoupá počet voličů, kteří své volební rozhodnutí činí až těsně před volbami. </w:t>
      </w:r>
    </w:p>
    <w:p w:rsidR="00785933" w:rsidRPr="005D48C8" w:rsidRDefault="00785933" w:rsidP="00767058">
      <w:pPr>
        <w:rPr>
          <w:b/>
        </w:rPr>
      </w:pPr>
      <w:r w:rsidRPr="005D48C8">
        <w:rPr>
          <w:b/>
        </w:rPr>
        <w:t>Hlavním cílem výzkumů České televize bylo pořídit v jednotlivých krajíchaktuální snímek předvolebního rozložení sil jednotlivých politických uskupení a tento potenciálním voličům prezentovat. Výsledky zároveň sloužily jako podklad k pozvání šestice hostů – představitelů politických stran – do třináctidílného pořadu Otázky Václava Moravce Speciál.</w:t>
      </w:r>
    </w:p>
    <w:p w:rsidR="00785933" w:rsidRDefault="00785933">
      <w:pPr>
        <w:rPr>
          <w:b/>
          <w:sz w:val="26"/>
          <w:szCs w:val="26"/>
        </w:rPr>
      </w:pPr>
    </w:p>
    <w:p w:rsidR="00785933" w:rsidRPr="00BB0EC6" w:rsidRDefault="00785933" w:rsidP="00BB0EC6">
      <w:pPr>
        <w:pStyle w:val="Heading2"/>
        <w:numPr>
          <w:ilvl w:val="1"/>
          <w:numId w:val="17"/>
        </w:numPr>
        <w:ind w:left="426"/>
      </w:pPr>
      <w:r w:rsidRPr="00F150B7">
        <w:t>Metodika výzkumu</w:t>
      </w:r>
    </w:p>
    <w:p w:rsidR="00785933" w:rsidRDefault="00785933" w:rsidP="00375901">
      <w:pPr>
        <w:rPr>
          <w:b/>
          <w:bCs/>
        </w:rPr>
      </w:pPr>
    </w:p>
    <w:p w:rsidR="00785933" w:rsidRPr="00F150B7" w:rsidRDefault="00785933" w:rsidP="00375901">
      <w:r w:rsidRPr="00F150B7">
        <w:rPr>
          <w:b/>
          <w:bCs/>
        </w:rPr>
        <w:t>VÝZKUMNÉ AGENTURY</w:t>
      </w:r>
    </w:p>
    <w:p w:rsidR="00785933" w:rsidRDefault="00785933" w:rsidP="00375901">
      <w:r w:rsidRPr="00F150B7">
        <w:t xml:space="preserve">Česká televize přizvala ke spolupráci </w:t>
      </w:r>
      <w:r w:rsidRPr="005D48C8">
        <w:rPr>
          <w:b/>
        </w:rPr>
        <w:t>dvě renomované výzkumné agentury sprokazatelnými zkušenostmi s výzkumy daného typu, SC&amp;C s.r.o. a STEM/MARK a.s.</w:t>
      </w:r>
      <w:r w:rsidRPr="00F150B7">
        <w:t xml:space="preserve"> Obě společnosti</w:t>
      </w:r>
      <w:r>
        <w:t xml:space="preserve"> nabídli České televizivýhodné finanční podmínky a zároveň </w:t>
      </w:r>
      <w:r w:rsidRPr="00F150B7">
        <w:t xml:space="preserve">výrazně nadstandardní kontrolu provedených rozhovorů, </w:t>
      </w:r>
      <w:r>
        <w:t>obě dvě agentury disponovali dostatečnou</w:t>
      </w:r>
      <w:r w:rsidRPr="00F150B7">
        <w:t xml:space="preserve"> širokou a stru</w:t>
      </w:r>
      <w:r>
        <w:t>kturovanou sítí tazatelů a bylo možno</w:t>
      </w:r>
      <w:r w:rsidRPr="00F150B7">
        <w:t xml:space="preserve"> zajistit extenzivní </w:t>
      </w:r>
      <w:r>
        <w:t>kontrolupráce výzkumných agentur.</w:t>
      </w:r>
    </w:p>
    <w:p w:rsidR="00785933" w:rsidRPr="00F150B7" w:rsidRDefault="00785933" w:rsidP="00375901">
      <w:r>
        <w:t xml:space="preserve">Hlavním důvodem angažování dvou agentury byla možnost využít </w:t>
      </w:r>
      <w:r w:rsidRPr="005D48C8">
        <w:rPr>
          <w:b/>
        </w:rPr>
        <w:t>dvou nezávislých tazatelských sítí.</w:t>
      </w:r>
      <w:r>
        <w:t xml:space="preserve"> V rámci jednotlivých krajů byly totiž realizovány rozhovory na atypicky velkém vzorku respondentů (minimálně 1000) a zajištění sběru dat jedinou agenturou by ve většině krajů bylo problematické. V průběhu výzkumu se mnohokrát ukázalo, že spolupráce se dvěma agenturami byla vzhledem k rozsahu zadání zcela na místě. Bylo tak například možné před sloučením dat zkoumat míru odchylek mezi agenturami a případné anomálie před vytvořením samotného volebního modelu vysvětlit.</w:t>
      </w:r>
    </w:p>
    <w:p w:rsidR="00785933" w:rsidRPr="00F150B7" w:rsidRDefault="00785933" w:rsidP="00375901">
      <w:r w:rsidRPr="00F150B7">
        <w:t xml:space="preserve">Klíčoví představitelé obou </w:t>
      </w:r>
      <w:r>
        <w:t xml:space="preserve">spolupracujících </w:t>
      </w:r>
      <w:r w:rsidRPr="00F150B7">
        <w:t xml:space="preserve">výzkumných společností jsou členy mezinárodní organizace ESOMAR, a z tohoto titulu jsou povinni dbát ve svých agenturách na dodržování odborných standardů a maximální kvalitu odváděné práce. </w:t>
      </w:r>
    </w:p>
    <w:p w:rsidR="00785933" w:rsidRPr="00F150B7" w:rsidRDefault="00785933" w:rsidP="00375901">
      <w:r w:rsidRPr="00F150B7">
        <w:rPr>
          <w:b/>
          <w:bCs/>
        </w:rPr>
        <w:t>ZPRACOVÁNÍ DAT</w:t>
      </w:r>
    </w:p>
    <w:p w:rsidR="00785933" w:rsidRPr="00F150B7" w:rsidRDefault="00785933" w:rsidP="00375901">
      <w:r w:rsidRPr="00F150B7">
        <w:t xml:space="preserve">Zpracování dat z předvolebních výzkumů, včetně analýz a přípravy zpráv, </w:t>
      </w:r>
      <w:r>
        <w:t>bylo</w:t>
      </w:r>
      <w:r w:rsidRPr="00F150B7">
        <w:t xml:space="preserve"> plně pod kontrolou České televize. K tomu účelu byl vytvořen odborný procení tým složený ze zástupců všech tří stran (ČT a obou agentur), který m</w:t>
      </w:r>
      <w:r>
        <w:t>ěl</w:t>
      </w:r>
      <w:r w:rsidRPr="00F150B7">
        <w:t xml:space="preserve"> na starost realizaci výzkumu a dohled nad celým výzkumným procesem</w:t>
      </w:r>
      <w:r>
        <w:t xml:space="preserve">. Klíčové operace s daty - například jejich slučování do jednoho souboru či výpočet volebního modelu - probíhaly na půdě České televize. Podrobnosti </w:t>
      </w:r>
      <w:r w:rsidRPr="00F150B7">
        <w:t xml:space="preserve">viz </w:t>
      </w:r>
      <w:r w:rsidRPr="00D16180">
        <w:rPr>
          <w:i/>
        </w:rPr>
        <w:t>Příloha1 - PRAVIDLA SPOLUPRÁCE ODBORNÉHO PROCESNÍHO TÝMU</w:t>
      </w:r>
      <w:r w:rsidRPr="00F150B7">
        <w:t xml:space="preserve">. </w:t>
      </w:r>
    </w:p>
    <w:p w:rsidR="00785933" w:rsidRPr="00F150B7" w:rsidRDefault="00785933" w:rsidP="00375901">
      <w:r w:rsidRPr="00F150B7">
        <w:rPr>
          <w:b/>
          <w:bCs/>
        </w:rPr>
        <w:t>TERMÍN REALIZACE</w:t>
      </w:r>
    </w:p>
    <w:p w:rsidR="00785933" w:rsidRPr="005D48C8" w:rsidRDefault="00785933" w:rsidP="00375901">
      <w:pPr>
        <w:rPr>
          <w:b/>
        </w:rPr>
      </w:pPr>
      <w:r w:rsidRPr="00F150B7">
        <w:t xml:space="preserve">Předvolební výzkumy </w:t>
      </w:r>
      <w:r>
        <w:t>byly</w:t>
      </w:r>
      <w:r w:rsidRPr="00F150B7">
        <w:t xml:space="preserve"> realizovány vždy těsně před vysíláním </w:t>
      </w:r>
      <w:r w:rsidRPr="00EA489C">
        <w:t xml:space="preserve">Otázek Václava Moravce Speciál z příslušného kraje, a to v průběhu šesti dnů předcházejících vysílání. </w:t>
      </w:r>
      <w:r w:rsidRPr="005D48C8">
        <w:rPr>
          <w:b/>
        </w:rPr>
        <w:t>Vlastní sběr dat v daném kraji probíhal 3-4 dny.</w:t>
      </w:r>
    </w:p>
    <w:p w:rsidR="00785933" w:rsidRPr="00F150B7" w:rsidRDefault="00785933" w:rsidP="00375901">
      <w:r>
        <w:rPr>
          <w:b/>
          <w:bCs/>
        </w:rPr>
        <w:t>VELIKOST VÝBĚROVÉHO SOUBORU</w:t>
      </w:r>
    </w:p>
    <w:p w:rsidR="00785933" w:rsidRPr="00F150B7" w:rsidRDefault="00785933" w:rsidP="00375901">
      <w:r w:rsidRPr="00F150B7">
        <w:t xml:space="preserve">V každém kraji </w:t>
      </w:r>
      <w:r>
        <w:t>byl</w:t>
      </w:r>
      <w:r w:rsidRPr="00F150B7">
        <w:t xml:space="preserve"> dotazován reprezentativní vzorek dospělé populace, </w:t>
      </w:r>
      <w:r>
        <w:t>vždy</w:t>
      </w:r>
      <w:r w:rsidRPr="00F150B7">
        <w:t xml:space="preserve"> minimálně 1000 respondentů, přičemž každá z výzkumných agentur realiz</w:t>
      </w:r>
      <w:r>
        <w:t>ovala</w:t>
      </w:r>
      <w:r w:rsidRPr="00F150B7">
        <w:t xml:space="preserve"> minimálně 500 rozhovorů. Respondenti </w:t>
      </w:r>
      <w:r>
        <w:t>byli</w:t>
      </w:r>
      <w:r w:rsidRPr="00F150B7">
        <w:t xml:space="preserve"> do vzorku vybíráni na základě kvót na pohlaví, věk, vzdělání, velikost místa bydliště a okres. Jedn</w:t>
      </w:r>
      <w:r>
        <w:t>alo</w:t>
      </w:r>
      <w:r w:rsidRPr="00F150B7">
        <w:t xml:space="preserve"> se tedy o kvótní výběr.</w:t>
      </w:r>
    </w:p>
    <w:p w:rsidR="00785933" w:rsidRPr="00F150B7" w:rsidRDefault="00785933" w:rsidP="00375901">
      <w:r w:rsidRPr="00F150B7">
        <w:rPr>
          <w:b/>
          <w:bCs/>
        </w:rPr>
        <w:t>METODA SBĚRU DAT</w:t>
      </w:r>
    </w:p>
    <w:p w:rsidR="00785933" w:rsidRPr="00F150B7" w:rsidRDefault="00785933" w:rsidP="00375901">
      <w:r>
        <w:t>Sběr dat byl realizovánprostřednictvím</w:t>
      </w:r>
      <w:r w:rsidRPr="00F150B7">
        <w:t xml:space="preserve"> osobních rozhovorů</w:t>
      </w:r>
      <w:r>
        <w:t xml:space="preserve">, konkrétně </w:t>
      </w:r>
      <w:r w:rsidRPr="00F150B7">
        <w:t>kombinací metod CAPI (Computer-Assisted-Personal-Interview), tedy záznamu odpovědí do předem naprogramovaného dotazníku v</w:t>
      </w:r>
      <w:r>
        <w:t xml:space="preserve"> notebooku či PDA </w:t>
      </w:r>
      <w:r w:rsidRPr="00F150B7">
        <w:t xml:space="preserve">a PAPI (Paper-and-Pencil-Interview), kdy jsou odpovědi respondenta zaznamenávány do vytištěného dotazníku. Každý tazatel </w:t>
      </w:r>
      <w:r>
        <w:t>mohl</w:t>
      </w:r>
      <w:r w:rsidRPr="00F150B7">
        <w:t xml:space="preserve"> realizovat v příslušném kraji maximálně 20 rozhovorů.</w:t>
      </w:r>
    </w:p>
    <w:p w:rsidR="00785933" w:rsidRPr="00F150B7" w:rsidRDefault="00785933" w:rsidP="00375901">
      <w:r w:rsidRPr="00F150B7">
        <w:rPr>
          <w:b/>
          <w:bCs/>
        </w:rPr>
        <w:t>KONTROLA DAT</w:t>
      </w:r>
    </w:p>
    <w:p w:rsidR="00785933" w:rsidRPr="00F150B7" w:rsidRDefault="00785933" w:rsidP="00375901">
      <w:r w:rsidRPr="005D48C8">
        <w:rPr>
          <w:b/>
        </w:rPr>
        <w:t>Zpětně bylo kontrolováno okolo 90% všech rozhovorů,</w:t>
      </w:r>
      <w:r>
        <w:t>ať už</w:t>
      </w:r>
      <w:r w:rsidRPr="00F150B7">
        <w:t xml:space="preserve"> formou audio nahrávek rozhovorů </w:t>
      </w:r>
      <w:r>
        <w:t>nebo</w:t>
      </w:r>
      <w:r w:rsidRPr="00F150B7">
        <w:t xml:space="preserve"> následnou telefon</w:t>
      </w:r>
      <w:r>
        <w:t>ickou</w:t>
      </w:r>
      <w:r w:rsidRPr="00F150B7">
        <w:t xml:space="preserve"> kontrolou. </w:t>
      </w:r>
    </w:p>
    <w:p w:rsidR="00785933" w:rsidRDefault="00785933" w:rsidP="00CF5579">
      <w:pPr>
        <w:rPr>
          <w:b/>
          <w:sz w:val="26"/>
          <w:szCs w:val="26"/>
        </w:rPr>
      </w:pPr>
    </w:p>
    <w:p w:rsidR="00785933" w:rsidRPr="00BB0EC6" w:rsidRDefault="00785933" w:rsidP="00BB0EC6">
      <w:pPr>
        <w:pStyle w:val="Heading2"/>
        <w:numPr>
          <w:ilvl w:val="1"/>
          <w:numId w:val="17"/>
        </w:numPr>
        <w:ind w:left="426"/>
      </w:pPr>
      <w:r>
        <w:t>Technické informace o výzkumu</w:t>
      </w:r>
    </w:p>
    <w:tbl>
      <w:tblPr>
        <w:tblW w:w="9453" w:type="dxa"/>
        <w:tblCellMar>
          <w:left w:w="0" w:type="dxa"/>
          <w:right w:w="0" w:type="dxa"/>
        </w:tblCellMar>
        <w:tblLook w:val="0000"/>
      </w:tblPr>
      <w:tblGrid>
        <w:gridCol w:w="3112"/>
        <w:gridCol w:w="6341"/>
      </w:tblGrid>
      <w:tr w:rsidR="00785933" w:rsidRPr="00C666F9" w:rsidTr="00CC22BD">
        <w:trPr>
          <w:trHeight w:val="171"/>
        </w:trPr>
        <w:tc>
          <w:tcPr>
            <w:tcW w:w="311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933" w:rsidRPr="00C666F9" w:rsidRDefault="00785933" w:rsidP="00D766BD">
            <w:r w:rsidRPr="00C666F9">
              <w:t>Zadavatel výzkumu</w:t>
            </w:r>
          </w:p>
        </w:tc>
        <w:tc>
          <w:tcPr>
            <w:tcW w:w="6341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933" w:rsidRPr="00C666F9" w:rsidRDefault="00785933" w:rsidP="00D24211">
            <w:r w:rsidRPr="00C666F9">
              <w:rPr>
                <w:b/>
                <w:bCs/>
              </w:rPr>
              <w:t>ČESKÁ TELEVIZE</w:t>
            </w:r>
          </w:p>
        </w:tc>
      </w:tr>
      <w:tr w:rsidR="00785933" w:rsidRPr="00C666F9" w:rsidTr="00CC22BD">
        <w:trPr>
          <w:trHeight w:val="308"/>
        </w:trPr>
        <w:tc>
          <w:tcPr>
            <w:tcW w:w="311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933" w:rsidRPr="00C666F9" w:rsidRDefault="00785933" w:rsidP="00D766BD">
            <w:r w:rsidRPr="00C666F9">
              <w:t>Realizátoři výzkumu</w:t>
            </w:r>
          </w:p>
        </w:tc>
        <w:tc>
          <w:tcPr>
            <w:tcW w:w="6341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933" w:rsidRPr="00C666F9" w:rsidRDefault="00785933" w:rsidP="00553D46">
            <w:r w:rsidRPr="00C666F9">
              <w:rPr>
                <w:b/>
                <w:bCs/>
              </w:rPr>
              <w:t xml:space="preserve">SC&amp;C spol. s r.o. a STEM/MARK, a.s. </w:t>
            </w:r>
          </w:p>
        </w:tc>
      </w:tr>
      <w:tr w:rsidR="00785933" w:rsidRPr="00C666F9" w:rsidTr="00CC22BD">
        <w:trPr>
          <w:trHeight w:val="440"/>
        </w:trPr>
        <w:tc>
          <w:tcPr>
            <w:tcW w:w="311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933" w:rsidRPr="00C666F9" w:rsidRDefault="00785933" w:rsidP="00D766BD">
            <w:r w:rsidRPr="00C666F9">
              <w:t>Charakteristika výzkumu</w:t>
            </w:r>
          </w:p>
        </w:tc>
        <w:tc>
          <w:tcPr>
            <w:tcW w:w="6341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933" w:rsidRPr="00C666F9" w:rsidRDefault="00785933" w:rsidP="00CC22BD">
            <w:r w:rsidRPr="00C666F9">
              <w:rPr>
                <w:b/>
                <w:bCs/>
              </w:rPr>
              <w:t>Reprezentativní výzkum dospělé populace ve 13 krajích České republiky(mimo Prahy)</w:t>
            </w:r>
          </w:p>
        </w:tc>
      </w:tr>
      <w:tr w:rsidR="00785933" w:rsidRPr="00C666F9" w:rsidTr="00CC22BD">
        <w:trPr>
          <w:trHeight w:val="443"/>
        </w:trPr>
        <w:tc>
          <w:tcPr>
            <w:tcW w:w="311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933" w:rsidRPr="00C666F9" w:rsidRDefault="00785933" w:rsidP="00D766BD">
            <w:r w:rsidRPr="00C666F9">
              <w:t>Způsob výběru respondentů</w:t>
            </w:r>
          </w:p>
        </w:tc>
        <w:tc>
          <w:tcPr>
            <w:tcW w:w="6341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933" w:rsidRPr="00C666F9" w:rsidRDefault="00785933" w:rsidP="00D24211">
            <w:r w:rsidRPr="00C666F9">
              <w:rPr>
                <w:b/>
                <w:bCs/>
              </w:rPr>
              <w:t>Kvótní výběr podle pohlaví, věku, vzdělání a velikosti místa bydliště a okresu</w:t>
            </w:r>
          </w:p>
        </w:tc>
      </w:tr>
      <w:tr w:rsidR="00785933" w:rsidRPr="00C666F9" w:rsidTr="00CC22BD">
        <w:trPr>
          <w:trHeight w:val="376"/>
        </w:trPr>
        <w:tc>
          <w:tcPr>
            <w:tcW w:w="311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933" w:rsidRPr="00C666F9" w:rsidRDefault="00785933" w:rsidP="00D766BD">
            <w:r w:rsidRPr="00C666F9">
              <w:t>Sběr dat</w:t>
            </w:r>
          </w:p>
        </w:tc>
        <w:tc>
          <w:tcPr>
            <w:tcW w:w="6341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933" w:rsidRPr="00C666F9" w:rsidRDefault="00785933" w:rsidP="00D24211">
            <w:r w:rsidRPr="00C666F9">
              <w:rPr>
                <w:b/>
                <w:bCs/>
              </w:rPr>
              <w:t>srpen – říjen 2012</w:t>
            </w:r>
          </w:p>
        </w:tc>
      </w:tr>
      <w:tr w:rsidR="00785933" w:rsidRPr="00C666F9" w:rsidTr="00CC22BD">
        <w:trPr>
          <w:trHeight w:val="533"/>
        </w:trPr>
        <w:tc>
          <w:tcPr>
            <w:tcW w:w="311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933" w:rsidRPr="00C666F9" w:rsidRDefault="00785933" w:rsidP="00D766BD">
            <w:r w:rsidRPr="00C666F9">
              <w:t>Způsob sběru dat</w:t>
            </w:r>
          </w:p>
        </w:tc>
        <w:tc>
          <w:tcPr>
            <w:tcW w:w="6341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933" w:rsidRPr="00C666F9" w:rsidRDefault="00785933" w:rsidP="00D24211">
            <w:r w:rsidRPr="00C666F9">
              <w:rPr>
                <w:b/>
                <w:bCs/>
              </w:rPr>
              <w:t>Osobní dotazování (Face-to-Face), kombinace CAPI (Computer-Assisted Personal Interviewing) a PAPI (Paper and Pencil Interviewing)</w:t>
            </w:r>
          </w:p>
        </w:tc>
      </w:tr>
      <w:tr w:rsidR="00785933" w:rsidRPr="00C666F9" w:rsidTr="00CC22BD">
        <w:trPr>
          <w:trHeight w:val="533"/>
        </w:trPr>
        <w:tc>
          <w:tcPr>
            <w:tcW w:w="311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933" w:rsidRPr="00C666F9" w:rsidRDefault="00785933" w:rsidP="00B37722">
            <w:r w:rsidRPr="00C666F9">
              <w:t>Finální velikost výběrového souboru</w:t>
            </w:r>
          </w:p>
        </w:tc>
        <w:tc>
          <w:tcPr>
            <w:tcW w:w="6341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933" w:rsidRPr="00C666F9" w:rsidRDefault="00785933" w:rsidP="00D24211">
            <w:r w:rsidRPr="00C666F9">
              <w:rPr>
                <w:b/>
                <w:bCs/>
              </w:rPr>
              <w:t xml:space="preserve">13.525 respondentů </w:t>
            </w:r>
          </w:p>
        </w:tc>
      </w:tr>
      <w:tr w:rsidR="00785933" w:rsidRPr="00C666F9" w:rsidTr="00CC22BD">
        <w:trPr>
          <w:trHeight w:val="1763"/>
        </w:trPr>
        <w:tc>
          <w:tcPr>
            <w:tcW w:w="3112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933" w:rsidRPr="00C666F9" w:rsidRDefault="00785933" w:rsidP="00D766BD">
            <w:r w:rsidRPr="00C666F9">
              <w:t>Struktura finálního výběrového souboru</w:t>
            </w:r>
          </w:p>
        </w:tc>
        <w:tc>
          <w:tcPr>
            <w:tcW w:w="6341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933" w:rsidRPr="00C666F9" w:rsidRDefault="00785933" w:rsidP="00D24211">
            <w:r w:rsidRPr="00C666F9">
              <w:rPr>
                <w:b/>
                <w:bCs/>
              </w:rPr>
              <w:t>Pohlaví: Muži – 49 %; Ženy – 51 %</w:t>
            </w:r>
          </w:p>
          <w:p w:rsidR="00785933" w:rsidRPr="00C666F9" w:rsidRDefault="00785933" w:rsidP="00D24211">
            <w:r w:rsidRPr="00C666F9">
              <w:rPr>
                <w:b/>
                <w:bCs/>
              </w:rPr>
              <w:t>Věk: 18-29 let – 20 %; 30-44 let – 28 %; 45-59 let – 25 %; 60 a více let – 27 %</w:t>
            </w:r>
          </w:p>
          <w:p w:rsidR="00785933" w:rsidRPr="00C666F9" w:rsidRDefault="00785933" w:rsidP="00D24211">
            <w:r w:rsidRPr="00C666F9">
              <w:rPr>
                <w:b/>
                <w:bCs/>
              </w:rPr>
              <w:t>Vzdělání: ZŠ a Vyučení – 55 %, SŠ s maturitou – 34 %; VŠ – 11 %</w:t>
            </w:r>
          </w:p>
          <w:p w:rsidR="00785933" w:rsidRPr="00C666F9" w:rsidRDefault="00785933" w:rsidP="00D24211">
            <w:r w:rsidRPr="00C666F9">
              <w:rPr>
                <w:b/>
                <w:bCs/>
              </w:rPr>
              <w:t xml:space="preserve">Velikost místa bydliště: do 1.999 – 30 %; 2.000-4.999 – 13 %; </w:t>
            </w:r>
            <w:r w:rsidRPr="00C666F9">
              <w:rPr>
                <w:b/>
                <w:bCs/>
              </w:rPr>
              <w:br/>
              <w:t>5.000-19.999 – 21 %; 20.000-49.999 – 13 %; 50.000 a více – 23 %</w:t>
            </w:r>
          </w:p>
        </w:tc>
      </w:tr>
    </w:tbl>
    <w:p w:rsidR="00785933" w:rsidRDefault="00785933">
      <w:pPr>
        <w:rPr>
          <w:b/>
          <w:sz w:val="26"/>
          <w:szCs w:val="26"/>
        </w:rPr>
      </w:pPr>
    </w:p>
    <w:p w:rsidR="00785933" w:rsidRPr="00BB0EC6" w:rsidRDefault="00785933" w:rsidP="00BB0EC6">
      <w:pPr>
        <w:pStyle w:val="Heading2"/>
        <w:numPr>
          <w:ilvl w:val="1"/>
          <w:numId w:val="17"/>
        </w:numPr>
        <w:ind w:left="426"/>
      </w:pPr>
      <w:r>
        <w:t>Volební model</w:t>
      </w:r>
    </w:p>
    <w:p w:rsidR="00785933" w:rsidRDefault="00785933" w:rsidP="008D0ACC">
      <w:r w:rsidRPr="0062439B">
        <w:rPr>
          <w:bCs/>
        </w:rPr>
        <w:t>Volební model</w:t>
      </w:r>
      <w:r w:rsidRPr="0062439B">
        <w:t xml:space="preserve"> je matematický</w:t>
      </w:r>
      <w:r>
        <w:t xml:space="preserve"> konstrukt, který by měl věrněji než samotné volební preference odrážet aktuální rozložení sil jednotlivých politických uskupení. Volební model je postaven na preferencích voličů, kteří v době dotazování deklarují účast u voleb, a ukazuje, jak by volby v danou chvíli dopadly. Česká televize se rozhodla v rámci svých předvolebních vysílání prezentovat voličům právě volební model, protože je podle našeho názoru z hlediska diváků nejlépe čitelný a srozumitelný. </w:t>
      </w:r>
    </w:p>
    <w:p w:rsidR="00785933" w:rsidRPr="00F150B7" w:rsidRDefault="00785933" w:rsidP="00F150B7">
      <w:r>
        <w:rPr>
          <w:b/>
          <w:bCs/>
        </w:rPr>
        <w:t>DEFINICE VOLEBNÍHO MODELU</w:t>
      </w:r>
    </w:p>
    <w:p w:rsidR="00785933" w:rsidRPr="008D20F4" w:rsidRDefault="00785933" w:rsidP="008D20F4">
      <w:pPr>
        <w:rPr>
          <w:bCs/>
        </w:rPr>
      </w:pPr>
      <w:r w:rsidRPr="008D20F4">
        <w:rPr>
          <w:bCs/>
        </w:rPr>
        <w:t>Do volebního modelu vstupují pouze respondenti, kteří:</w:t>
      </w:r>
    </w:p>
    <w:p w:rsidR="00785933" w:rsidRDefault="00785933" w:rsidP="006D3C5E">
      <w:pPr>
        <w:numPr>
          <w:ilvl w:val="0"/>
          <w:numId w:val="3"/>
        </w:numPr>
      </w:pPr>
      <w:r>
        <w:t>uvedou, že se určitě nebo spíše zúčastní krajských voleb (Otázka 1)</w:t>
      </w:r>
    </w:p>
    <w:p w:rsidR="00785933" w:rsidRDefault="00785933" w:rsidP="006D3C5E">
      <w:pPr>
        <w:numPr>
          <w:ilvl w:val="0"/>
          <w:numId w:val="3"/>
        </w:numPr>
      </w:pPr>
      <w:r>
        <w:t>uvedou konkrétní preferované politické uskupení pro krajské volby (Otázka 2)</w:t>
      </w:r>
    </w:p>
    <w:p w:rsidR="00785933" w:rsidRDefault="00785933" w:rsidP="006D3C5E">
      <w:pPr>
        <w:numPr>
          <w:ilvl w:val="0"/>
          <w:numId w:val="3"/>
        </w:numPr>
      </w:pPr>
      <w:r>
        <w:t>uvedou, že o volbě danéhouskupení jsou určitě nebo spíše přesvědčeni (Otázka 3)</w:t>
      </w:r>
    </w:p>
    <w:p w:rsidR="00785933" w:rsidRPr="008D20F4" w:rsidRDefault="00785933" w:rsidP="008D20F4">
      <w:pPr>
        <w:rPr>
          <w:bCs/>
        </w:rPr>
      </w:pPr>
      <w:r w:rsidRPr="008D20F4">
        <w:rPr>
          <w:bCs/>
        </w:rPr>
        <w:t xml:space="preserve">Volební preference respondentů, kteří splní všechny tři podmínky, jsou sumarizovány a přepočteny na 100%. Tím vznikne volební model, který je obvykle prezentován v podobě grafu. </w:t>
      </w:r>
    </w:p>
    <w:p w:rsidR="00785933" w:rsidRDefault="00785933" w:rsidP="006D3C5E">
      <w:pPr>
        <w:ind w:left="360"/>
        <w:rPr>
          <w:u w:val="single"/>
        </w:rPr>
      </w:pPr>
    </w:p>
    <w:p w:rsidR="00785933" w:rsidRPr="00A70365" w:rsidRDefault="00785933" w:rsidP="008D20F4">
      <w:pPr>
        <w:rPr>
          <w:b/>
          <w:bCs/>
        </w:rPr>
      </w:pPr>
      <w:r w:rsidRPr="00A70365">
        <w:rPr>
          <w:b/>
          <w:bCs/>
        </w:rPr>
        <w:t xml:space="preserve">OTÁZKY POUŽITÉ PŘI KONSTRUKCI VOLEBNÍHO MODELU </w:t>
      </w:r>
    </w:p>
    <w:p w:rsidR="00785933" w:rsidRPr="00C76476" w:rsidRDefault="00785933" w:rsidP="008D20F4">
      <w:pPr>
        <w:rPr>
          <w:b/>
        </w:rPr>
      </w:pPr>
      <w:r>
        <w:rPr>
          <w:b/>
        </w:rPr>
        <w:t>Otázka 1</w:t>
      </w:r>
      <w:r w:rsidRPr="00C76476">
        <w:rPr>
          <w:b/>
        </w:rPr>
        <w:t xml:space="preserve">. </w:t>
      </w:r>
      <w:r w:rsidRPr="0089202C">
        <w:rPr>
          <w:bCs/>
        </w:rPr>
        <w:t xml:space="preserve">Pokud by se volby do </w:t>
      </w:r>
      <w:r w:rsidRPr="0089202C">
        <w:rPr>
          <w:bCs/>
          <w:u w:val="single"/>
        </w:rPr>
        <w:t>zastupitelstva vašeho kraje</w:t>
      </w:r>
      <w:r w:rsidRPr="0089202C">
        <w:rPr>
          <w:bCs/>
        </w:rPr>
        <w:t xml:space="preserve"> konaly příští týden, šel(šla) byste Vy osobně volit?</w:t>
      </w:r>
    </w:p>
    <w:p w:rsidR="00785933" w:rsidRPr="00C76476" w:rsidRDefault="00785933" w:rsidP="006D3C5E">
      <w:pPr>
        <w:numPr>
          <w:ilvl w:val="0"/>
          <w:numId w:val="4"/>
        </w:numPr>
        <w:spacing w:after="0"/>
        <w:ind w:left="714" w:hanging="357"/>
      </w:pPr>
      <w:r w:rsidRPr="00C76476">
        <w:t>Určitě ano</w:t>
      </w:r>
      <w:r w:rsidRPr="00C76476">
        <w:tab/>
      </w:r>
      <w:r w:rsidRPr="00C76476">
        <w:tab/>
        <w:t>1</w:t>
      </w:r>
    </w:p>
    <w:p w:rsidR="00785933" w:rsidRPr="00C76476" w:rsidRDefault="00785933" w:rsidP="006D3C5E">
      <w:pPr>
        <w:numPr>
          <w:ilvl w:val="0"/>
          <w:numId w:val="4"/>
        </w:numPr>
        <w:spacing w:after="0"/>
        <w:ind w:left="714" w:hanging="357"/>
      </w:pPr>
      <w:r w:rsidRPr="00C76476">
        <w:t>Spíše ano</w:t>
      </w:r>
      <w:r w:rsidRPr="00C76476">
        <w:tab/>
      </w:r>
      <w:r w:rsidRPr="00C76476">
        <w:tab/>
        <w:t>2</w:t>
      </w:r>
    </w:p>
    <w:p w:rsidR="00785933" w:rsidRPr="00C76476" w:rsidRDefault="00785933" w:rsidP="006D3C5E">
      <w:pPr>
        <w:numPr>
          <w:ilvl w:val="0"/>
          <w:numId w:val="4"/>
        </w:numPr>
        <w:spacing w:after="0"/>
        <w:ind w:left="714" w:hanging="357"/>
      </w:pPr>
      <w:r w:rsidRPr="00C76476">
        <w:t>Spíše ne</w:t>
      </w:r>
      <w:r w:rsidRPr="00C76476">
        <w:tab/>
      </w:r>
      <w:r w:rsidRPr="00C76476">
        <w:tab/>
        <w:t>3</w:t>
      </w:r>
    </w:p>
    <w:p w:rsidR="00785933" w:rsidRPr="00C76476" w:rsidRDefault="00785933" w:rsidP="006D3C5E">
      <w:pPr>
        <w:numPr>
          <w:ilvl w:val="0"/>
          <w:numId w:val="4"/>
        </w:numPr>
        <w:spacing w:after="0"/>
        <w:ind w:left="714" w:hanging="357"/>
      </w:pPr>
      <w:r w:rsidRPr="00C76476">
        <w:t>Určitě ne</w:t>
      </w:r>
      <w:r w:rsidRPr="00C76476">
        <w:tab/>
      </w:r>
      <w:r w:rsidRPr="00C76476">
        <w:tab/>
        <w:t>4</w:t>
      </w:r>
    </w:p>
    <w:p w:rsidR="00785933" w:rsidRDefault="00785933" w:rsidP="008D20F4">
      <w:pPr>
        <w:rPr>
          <w:bCs/>
        </w:rPr>
      </w:pPr>
      <w:r w:rsidRPr="00C76476">
        <w:rPr>
          <w:b/>
        </w:rPr>
        <w:br/>
      </w:r>
      <w:r>
        <w:rPr>
          <w:b/>
        </w:rPr>
        <w:t xml:space="preserve">Otázka 2. </w:t>
      </w:r>
      <w:r w:rsidRPr="0089202C">
        <w:rPr>
          <w:bCs/>
        </w:rPr>
        <w:t xml:space="preserve">Pokud byste (přesto) šel/šla volit, kterou stranu, hnutí nebo koalici byste ve volbách do </w:t>
      </w:r>
      <w:r w:rsidRPr="0089202C">
        <w:rPr>
          <w:bCs/>
          <w:u w:val="single"/>
        </w:rPr>
        <w:t>krajského zastupitelstva</w:t>
      </w:r>
      <w:r w:rsidRPr="0089202C">
        <w:rPr>
          <w:bCs/>
        </w:rPr>
        <w:t xml:space="preserve"> pravděpodobně volil/a?</w:t>
      </w:r>
    </w:p>
    <w:p w:rsidR="00785933" w:rsidRDefault="00785933" w:rsidP="008D20F4">
      <w:pPr>
        <w:rPr>
          <w:b/>
        </w:rPr>
      </w:pPr>
    </w:p>
    <w:p w:rsidR="00785933" w:rsidRPr="0089202C" w:rsidRDefault="00785933" w:rsidP="008D20F4">
      <w:pPr>
        <w:rPr>
          <w:bCs/>
        </w:rPr>
      </w:pPr>
      <w:r w:rsidRPr="00C76476">
        <w:rPr>
          <w:b/>
        </w:rPr>
        <w:br/>
      </w:r>
      <w:r>
        <w:rPr>
          <w:b/>
        </w:rPr>
        <w:t>Otázka 3</w:t>
      </w:r>
      <w:r w:rsidRPr="0089202C">
        <w:rPr>
          <w:b/>
        </w:rPr>
        <w:t>.</w:t>
      </w:r>
      <w:r w:rsidRPr="0089202C">
        <w:rPr>
          <w:bCs/>
        </w:rPr>
        <w:t xml:space="preserve"> Jste o volbě právě této strany již pevně přesvědčen/a?</w:t>
      </w:r>
    </w:p>
    <w:p w:rsidR="00785933" w:rsidRPr="0089202C" w:rsidRDefault="00785933" w:rsidP="006D3C5E">
      <w:pPr>
        <w:numPr>
          <w:ilvl w:val="0"/>
          <w:numId w:val="4"/>
        </w:numPr>
        <w:spacing w:after="0"/>
        <w:ind w:left="714" w:hanging="357"/>
      </w:pPr>
      <w:r w:rsidRPr="0089202C">
        <w:t>Určitě ano</w:t>
      </w:r>
      <w:r w:rsidRPr="0089202C">
        <w:tab/>
        <w:t>1</w:t>
      </w:r>
    </w:p>
    <w:p w:rsidR="00785933" w:rsidRPr="0089202C" w:rsidRDefault="00785933" w:rsidP="006D3C5E">
      <w:pPr>
        <w:numPr>
          <w:ilvl w:val="0"/>
          <w:numId w:val="4"/>
        </w:numPr>
        <w:spacing w:after="0"/>
        <w:ind w:left="714" w:hanging="357"/>
      </w:pPr>
      <w:r w:rsidRPr="0089202C">
        <w:t>Spíše ano</w:t>
      </w:r>
      <w:r w:rsidRPr="0089202C">
        <w:tab/>
        <w:t>2</w:t>
      </w:r>
    </w:p>
    <w:p w:rsidR="00785933" w:rsidRPr="0089202C" w:rsidRDefault="00785933" w:rsidP="006D3C5E">
      <w:pPr>
        <w:numPr>
          <w:ilvl w:val="0"/>
          <w:numId w:val="4"/>
        </w:numPr>
        <w:spacing w:after="0"/>
        <w:ind w:left="714" w:hanging="357"/>
      </w:pPr>
      <w:r w:rsidRPr="0089202C">
        <w:t>Spíše ne</w:t>
      </w:r>
      <w:r w:rsidRPr="0089202C">
        <w:tab/>
        <w:t>3</w:t>
      </w:r>
    </w:p>
    <w:p w:rsidR="00785933" w:rsidRPr="0089202C" w:rsidRDefault="00785933" w:rsidP="006D3C5E">
      <w:pPr>
        <w:numPr>
          <w:ilvl w:val="0"/>
          <w:numId w:val="4"/>
        </w:numPr>
        <w:spacing w:after="0"/>
        <w:ind w:left="714" w:hanging="357"/>
      </w:pPr>
      <w:r w:rsidRPr="0089202C">
        <w:t>Určitě ne</w:t>
      </w:r>
      <w:r w:rsidRPr="0089202C">
        <w:tab/>
        <w:t>4</w:t>
      </w:r>
    </w:p>
    <w:p w:rsidR="00785933" w:rsidRDefault="00785933" w:rsidP="006D3C5E">
      <w:pPr>
        <w:ind w:left="360"/>
      </w:pPr>
    </w:p>
    <w:p w:rsidR="00785933" w:rsidRPr="00BB0EC6" w:rsidRDefault="00785933" w:rsidP="00BB0EC6">
      <w:pPr>
        <w:pStyle w:val="Heading2"/>
        <w:numPr>
          <w:ilvl w:val="1"/>
          <w:numId w:val="17"/>
        </w:numPr>
        <w:ind w:left="426"/>
      </w:pPr>
      <w:r w:rsidRPr="00695D4E">
        <w:t>Výsledky výzkumu</w:t>
      </w:r>
    </w:p>
    <w:p w:rsidR="00785933" w:rsidRPr="005D48C8" w:rsidRDefault="00785933" w:rsidP="00B6756D">
      <w:pPr>
        <w:rPr>
          <w:b/>
        </w:rPr>
      </w:pPr>
      <w:r>
        <w:t xml:space="preserve">Přestože ambicí předvolebního výzkumu České televize nebylo odhadovat volební výsledek politických stran a hnutí v jednotlivých krajích, </w:t>
      </w:r>
      <w:r w:rsidRPr="005D48C8">
        <w:rPr>
          <w:b/>
        </w:rPr>
        <w:t xml:space="preserve">nabízíme v této kapitole srovnání výzkumů realizovaných až šest týdnů před volbami s reálnými výsledky voleb.V této souvislosti konstatujeme, že v médiích často opakované sdělení, že jak výzkumy Českého rozhlasu, tak České televize byly (podobně) špatné a vykazovaly stejnou míru selhání, jsou buď projevem elementární neznalosti výsledků, nebo neochoty vzít rozdíly na vědomí. </w:t>
      </w:r>
    </w:p>
    <w:p w:rsidR="00785933" w:rsidRPr="005D48C8" w:rsidRDefault="00785933" w:rsidP="00B6756D">
      <w:pPr>
        <w:rPr>
          <w:b/>
        </w:rPr>
      </w:pPr>
      <w:r>
        <w:t xml:space="preserve">Ve dvanácti ze třinácti krajů byla celková odchylka (celková chybovost) volebního modelu nižší u České televize. Obě instituce veřejné služby byly opakovaně napadeny kvůli údajnému podhodnocení preferencí levicových stran, tedy ČSSD a KSČM. </w:t>
      </w:r>
      <w:r w:rsidRPr="005D48C8">
        <w:rPr>
          <w:b/>
        </w:rPr>
        <w:t>Výzkum ČT byl přitom v odhadu levice o řád přesnější než výzkum realizovaný Českým rozhlasem. Statisticky významně přesnější výsledky výzkumu České televize lze prokázati v drtivé většině ostatních položek. V následujícím textu se nicméně budeme věnovat pouze výsledkům České televize.</w:t>
      </w:r>
    </w:p>
    <w:p w:rsidR="00785933" w:rsidRDefault="00785933" w:rsidP="006B2BAD">
      <w:pPr>
        <w:pStyle w:val="ListParagraph"/>
        <w:ind w:left="360"/>
        <w:rPr>
          <w:b/>
        </w:rPr>
      </w:pPr>
    </w:p>
    <w:p w:rsidR="00785933" w:rsidRPr="006F5E31" w:rsidRDefault="00785933" w:rsidP="006F5E31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Strany, které překročily hranici 5% </w:t>
      </w:r>
    </w:p>
    <w:p w:rsidR="00785933" w:rsidRPr="00EA489C" w:rsidRDefault="00785933" w:rsidP="006F5E31">
      <w:r w:rsidRPr="006F5E31">
        <w:t xml:space="preserve">Do zastupitelstev všech 13 krajů se ve volbách prosadili kandidáti z celkem </w:t>
      </w:r>
      <w:r w:rsidRPr="00EA489C">
        <w:t xml:space="preserve">69 kandidátek. </w:t>
      </w:r>
      <w:r w:rsidRPr="00EA489C">
        <w:rPr>
          <w:b/>
        </w:rPr>
        <w:t>Předvolební průzkumy České televize správně určily překročení pětiprocentní hranice potřebné pro vstup do zastupitelstva u 62 z těchto kandidátek, tedy v 90 % případů.</w:t>
      </w:r>
    </w:p>
    <w:p w:rsidR="00785933" w:rsidRDefault="00785933" w:rsidP="006B2BAD">
      <w:pPr>
        <w:pStyle w:val="ListParagraph"/>
        <w:ind w:left="360"/>
        <w:rPr>
          <w:b/>
        </w:rPr>
      </w:pPr>
    </w:p>
    <w:p w:rsidR="00785933" w:rsidRPr="006F5E31" w:rsidRDefault="00785933" w:rsidP="001D70EB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Politická uskupení pozvaná do pořadu Otázky Václav Moravce </w:t>
      </w:r>
    </w:p>
    <w:p w:rsidR="00785933" w:rsidRDefault="00785933" w:rsidP="006F5E31">
      <w:r>
        <w:t xml:space="preserve">Do předvolebních pořadů Otázky Václava </w:t>
      </w:r>
      <w:r w:rsidRPr="00EA489C">
        <w:t xml:space="preserve">Moravce Speciál byli v každém kraji zváni představitelé politických uskupení, která se ve volebním modelu ČT umístila na prvních šesti místech. </w:t>
      </w:r>
      <w:r w:rsidRPr="00EA489C">
        <w:rPr>
          <w:b/>
        </w:rPr>
        <w:t xml:space="preserve">Do předvolebního vysílání byli pozváni lídři 64 z již zmíněných 69 stran a hnutí, které se </w:t>
      </w:r>
      <w:r>
        <w:rPr>
          <w:b/>
        </w:rPr>
        <w:t xml:space="preserve">nakonec </w:t>
      </w:r>
      <w:r w:rsidRPr="00EA489C">
        <w:rPr>
          <w:b/>
        </w:rPr>
        <w:t>prosadily do zastupitelstev, což značí úspěšnost 93 %</w:t>
      </w:r>
      <w:r w:rsidRPr="00EA489C">
        <w:t>. Výjimk</w:t>
      </w:r>
      <w:r>
        <w:t xml:space="preserve">ami byly </w:t>
      </w:r>
      <w:r w:rsidRPr="00EA489C">
        <w:rPr>
          <w:i/>
        </w:rPr>
        <w:t>Alternativa pro kraj</w:t>
      </w:r>
      <w:r w:rsidRPr="00EA489C">
        <w:t xml:space="preserve"> v Karlovarském kraji, </w:t>
      </w:r>
      <w:r w:rsidRPr="00EA489C">
        <w:rPr>
          <w:i/>
        </w:rPr>
        <w:t>Hnutí PRO! Kraj</w:t>
      </w:r>
      <w:r w:rsidRPr="00EA489C">
        <w:t xml:space="preserve"> v Ústeckém kraji, </w:t>
      </w:r>
      <w:r w:rsidRPr="00EA489C">
        <w:rPr>
          <w:i/>
        </w:rPr>
        <w:t>Východočeši</w:t>
      </w:r>
      <w:r w:rsidRPr="00EA489C">
        <w:t xml:space="preserve"> v Královéhradeckém kraji, hnutí </w:t>
      </w:r>
      <w:r w:rsidRPr="00EA489C">
        <w:rPr>
          <w:i/>
        </w:rPr>
        <w:t>Pro Vysočinu</w:t>
      </w:r>
      <w:r w:rsidRPr="00EA489C">
        <w:t xml:space="preserve"> na Vysočině a </w:t>
      </w:r>
      <w:r w:rsidRPr="00EA489C">
        <w:rPr>
          <w:i/>
        </w:rPr>
        <w:t>Strana práv občanů - Zemanovci</w:t>
      </w:r>
      <w:r w:rsidRPr="00EA489C">
        <w:t xml:space="preserve"> v Pardubickém kraji. </w:t>
      </w:r>
      <w:r>
        <w:t>Až na Ústecký kraj, kde byl sběr dat realizován v druhé polovině září, se v</w:t>
      </w:r>
      <w:r w:rsidRPr="00EA489C">
        <w:t xml:space="preserve">e všech případech </w:t>
      </w:r>
      <w:r>
        <w:t xml:space="preserve">jednalo o menší neparlamentní subjekty kandidující v regionech, ve kterých výzkum probíhal v prvních dvou týdnech, tedy minimálně měsíc před samotnými volbami. </w:t>
      </w:r>
    </w:p>
    <w:p w:rsidR="00785933" w:rsidRPr="00A15AB4" w:rsidRDefault="00785933" w:rsidP="00A15AB4">
      <w:pPr>
        <w:pStyle w:val="ListParagraph"/>
        <w:ind w:left="360"/>
        <w:rPr>
          <w:b/>
        </w:rPr>
      </w:pPr>
    </w:p>
    <w:p w:rsidR="00785933" w:rsidRDefault="00785933">
      <w:pPr>
        <w:rPr>
          <w:b/>
        </w:rPr>
      </w:pPr>
      <w:r>
        <w:rPr>
          <w:b/>
        </w:rPr>
        <w:br w:type="page"/>
      </w:r>
    </w:p>
    <w:p w:rsidR="00785933" w:rsidRPr="006F5E31" w:rsidRDefault="00785933" w:rsidP="00633912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Vítězné strany </w:t>
      </w:r>
    </w:p>
    <w:p w:rsidR="00785933" w:rsidRDefault="00785933" w:rsidP="00A15AB4">
      <w:r w:rsidRPr="005D48C8">
        <w:rPr>
          <w:b/>
        </w:rPr>
        <w:t>Předvolební průzkumy České televize správně určily vítěze voleb v devíti ze třinácti krajů.</w:t>
      </w:r>
      <w:r>
        <w:t xml:space="preserve">V Karlovarském aPlzeňském kraji byl rozdíl mezi vítězem a druhým v pořadí velmi těsný, z výzkumu ČT přitom vyšel vítězně právě onen druhý subjekt. V Libereckém kraji se do čela prosadilo regionální uskupení </w:t>
      </w:r>
      <w:r w:rsidRPr="005B0EAC">
        <w:rPr>
          <w:i/>
        </w:rPr>
        <w:t>Starostové pro Liberecký kraj</w:t>
      </w:r>
      <w:r>
        <w:t xml:space="preserve">, které si v době dotazování (6 týdnů před volbami a před zahájením volební kampaně) respondenti podle všeho nebyli schopni ve větší míře spojit s konkrétními a místně populárními osobnostmi, které za uskupení kandidovali. V Jihočeském kraji dával výzkum čtyři týdny před volbami stejné šance </w:t>
      </w:r>
      <w:r w:rsidRPr="005B0EAC">
        <w:rPr>
          <w:i/>
        </w:rPr>
        <w:t>ODS</w:t>
      </w:r>
      <w:r>
        <w:t xml:space="preserve"> a </w:t>
      </w:r>
      <w:r w:rsidRPr="005B0EAC">
        <w:rPr>
          <w:i/>
        </w:rPr>
        <w:t>ČSSD</w:t>
      </w:r>
      <w:r>
        <w:t>, po událostech v posledních týdnech se ale vítězem stala sociální demokracie a občanští demokraté propadli.</w:t>
      </w:r>
    </w:p>
    <w:tbl>
      <w:tblPr>
        <w:tblW w:w="5260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753"/>
        <w:gridCol w:w="1753"/>
        <w:gridCol w:w="1754"/>
      </w:tblGrid>
      <w:tr w:rsidR="00785933" w:rsidRPr="00C666F9" w:rsidTr="005C70FC">
        <w:trPr>
          <w:trHeight w:val="315"/>
        </w:trPr>
        <w:tc>
          <w:tcPr>
            <w:tcW w:w="5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cs-CZ"/>
              </w:rPr>
            </w:pPr>
            <w:r w:rsidRPr="00A15AB4">
              <w:rPr>
                <w:rFonts w:cs="Calibri"/>
                <w:b/>
                <w:bCs/>
                <w:color w:val="000000"/>
                <w:lang w:eastAsia="cs-CZ"/>
              </w:rPr>
              <w:t>VÍTĚZ</w:t>
            </w:r>
          </w:p>
        </w:tc>
      </w:tr>
      <w:tr w:rsidR="00785933" w:rsidRPr="00C666F9" w:rsidTr="005C70FC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cs-CZ"/>
              </w:rPr>
            </w:pPr>
            <w:r w:rsidRPr="00A15AB4">
              <w:rPr>
                <w:rFonts w:cs="Calibri"/>
                <w:b/>
                <w:bCs/>
                <w:color w:val="000000"/>
                <w:lang w:eastAsia="cs-CZ"/>
              </w:rPr>
              <w:t>KRAJ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b/>
                <w:bCs/>
                <w:lang w:eastAsia="cs-CZ"/>
              </w:rPr>
            </w:pPr>
            <w:r w:rsidRPr="00A15AB4">
              <w:rPr>
                <w:rFonts w:cs="Calibri"/>
                <w:b/>
                <w:bCs/>
                <w:lang w:eastAsia="cs-CZ"/>
              </w:rPr>
              <w:t>REAL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b/>
                <w:bCs/>
                <w:lang w:eastAsia="cs-CZ"/>
              </w:rPr>
            </w:pPr>
            <w:r w:rsidRPr="00A15AB4">
              <w:rPr>
                <w:rFonts w:cs="Calibri"/>
                <w:b/>
                <w:bCs/>
                <w:lang w:eastAsia="cs-CZ"/>
              </w:rPr>
              <w:t>ČT</w:t>
            </w:r>
          </w:p>
        </w:tc>
      </w:tr>
      <w:tr w:rsidR="00785933" w:rsidRPr="00C666F9" w:rsidTr="005C70FC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KV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KSČM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ČSSD</w:t>
            </w:r>
          </w:p>
        </w:tc>
      </w:tr>
      <w:tr w:rsidR="00785933" w:rsidRPr="00C666F9" w:rsidTr="005C70FC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LIB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SLK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ČSSD</w:t>
            </w:r>
          </w:p>
        </w:tc>
      </w:tr>
      <w:tr w:rsidR="00785933" w:rsidRPr="00C666F9" w:rsidTr="005C70FC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VYS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ČSSD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ČSSD</w:t>
            </w:r>
          </w:p>
        </w:tc>
      </w:tr>
      <w:tr w:rsidR="00785933" w:rsidRPr="00C666F9" w:rsidTr="005C70FC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PARD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ČSSD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ČSSD</w:t>
            </w:r>
          </w:p>
        </w:tc>
      </w:tr>
      <w:tr w:rsidR="00785933" w:rsidRPr="00C666F9" w:rsidTr="005C70FC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KH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ČSSD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ČSSD</w:t>
            </w:r>
          </w:p>
        </w:tc>
      </w:tr>
      <w:tr w:rsidR="00785933" w:rsidRPr="00C666F9" w:rsidTr="005C70FC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PLZ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ODS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ČSSD</w:t>
            </w:r>
          </w:p>
        </w:tc>
      </w:tr>
      <w:tr w:rsidR="00785933" w:rsidRPr="00C666F9" w:rsidTr="005C70FC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ZL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ČSSD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ČSSD</w:t>
            </w:r>
          </w:p>
        </w:tc>
      </w:tr>
      <w:tr w:rsidR="00785933" w:rsidRPr="00C666F9" w:rsidTr="005C70FC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JIHC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ČSSD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ODS</w:t>
            </w:r>
          </w:p>
        </w:tc>
      </w:tr>
      <w:tr w:rsidR="00785933" w:rsidRPr="00C666F9" w:rsidTr="005C70FC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OL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ČSSD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ČSSD</w:t>
            </w:r>
          </w:p>
        </w:tc>
      </w:tr>
      <w:tr w:rsidR="00785933" w:rsidRPr="00C666F9" w:rsidTr="005C70FC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UST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KSČM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KSČM</w:t>
            </w:r>
          </w:p>
        </w:tc>
      </w:tr>
      <w:tr w:rsidR="00785933" w:rsidRPr="00C666F9" w:rsidTr="005C70FC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JIHM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ČSSD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ČSSD</w:t>
            </w:r>
          </w:p>
        </w:tc>
      </w:tr>
      <w:tr w:rsidR="00785933" w:rsidRPr="00C666F9" w:rsidTr="005C70FC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MSL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ČSSD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ČSSD</w:t>
            </w:r>
          </w:p>
        </w:tc>
      </w:tr>
      <w:tr w:rsidR="00785933" w:rsidRPr="00C666F9" w:rsidTr="005C70FC">
        <w:trPr>
          <w:trHeight w:val="315"/>
        </w:trPr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STRC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ČSSD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</w:tcPr>
          <w:p w:rsidR="00785933" w:rsidRPr="00A15AB4" w:rsidRDefault="00785933" w:rsidP="00A15AB4">
            <w:pPr>
              <w:spacing w:after="0" w:line="240" w:lineRule="auto"/>
              <w:jc w:val="center"/>
              <w:rPr>
                <w:rFonts w:cs="Calibri"/>
                <w:color w:val="000000"/>
                <w:lang w:eastAsia="cs-CZ"/>
              </w:rPr>
            </w:pPr>
            <w:r w:rsidRPr="00A15AB4">
              <w:rPr>
                <w:rFonts w:cs="Calibri"/>
                <w:color w:val="000000"/>
                <w:lang w:eastAsia="cs-CZ"/>
              </w:rPr>
              <w:t>ČSSD</w:t>
            </w:r>
          </w:p>
        </w:tc>
      </w:tr>
    </w:tbl>
    <w:p w:rsidR="00785933" w:rsidRDefault="00785933" w:rsidP="00B6756D"/>
    <w:p w:rsidR="00785933" w:rsidRPr="006F5E31" w:rsidRDefault="00785933" w:rsidP="007439A3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Odchylky levice - pravice </w:t>
      </w:r>
    </w:p>
    <w:p w:rsidR="00785933" w:rsidRDefault="00785933" w:rsidP="00663C45">
      <w:r w:rsidRPr="005D48C8">
        <w:rPr>
          <w:b/>
        </w:rPr>
        <w:t xml:space="preserve">Průměrná absolutní odchylka předvolebních výzkumů ČT pro společný zisk levice - ČSSD a KSČM - od skutečných výsledků voleb činí 2,77procentního bodu a pohybuje se v rámci statistické chyby. </w:t>
      </w:r>
      <w:r>
        <w:t>V průměru výzkumy České televize levici jako celek mírně nadhodnocovaly a nemůže tedy platit často opakovaná teze, že ČT levici před volbami uškodila podhodnocením jejích výsledků.</w:t>
      </w:r>
    </w:p>
    <w:p w:rsidR="00785933" w:rsidRDefault="00785933" w:rsidP="00663C45">
      <w:pPr>
        <w:rPr>
          <w:bCs/>
        </w:rPr>
      </w:pPr>
      <w:r w:rsidRPr="005D48C8">
        <w:rPr>
          <w:b/>
          <w:bCs/>
        </w:rPr>
        <w:t>Výzkumy České televize přisoudily v porovnání s výsledky voleb v průměru vyšší zisk pravicovým stranám, tedy ODS a TOP09.</w:t>
      </w:r>
      <w:r>
        <w:rPr>
          <w:bCs/>
        </w:rPr>
        <w:t xml:space="preserve"> Toto nadhodnocení je racionálně vysvětlitelné </w:t>
      </w:r>
      <w:r w:rsidRPr="000F4644">
        <w:rPr>
          <w:bCs/>
        </w:rPr>
        <w:t>gradov</w:t>
      </w:r>
      <w:r>
        <w:rPr>
          <w:bCs/>
        </w:rPr>
        <w:t>áním kauz s výrazným mediálním pokrytím (náměstek ministra Drábka, rebelové v ODS)</w:t>
      </w:r>
      <w:r w:rsidRPr="000F4644">
        <w:rPr>
          <w:bCs/>
        </w:rPr>
        <w:t xml:space="preserve">, které </w:t>
      </w:r>
      <w:r>
        <w:rPr>
          <w:bCs/>
        </w:rPr>
        <w:t xml:space="preserve">v posledních týdnech před volbami evidentně odradilyčást </w:t>
      </w:r>
      <w:r w:rsidRPr="000F4644">
        <w:rPr>
          <w:bCs/>
        </w:rPr>
        <w:t>potenciální</w:t>
      </w:r>
      <w:r>
        <w:rPr>
          <w:bCs/>
        </w:rPr>
        <w:t>ch</w:t>
      </w:r>
      <w:r w:rsidRPr="000F4644">
        <w:rPr>
          <w:bCs/>
        </w:rPr>
        <w:t xml:space="preserve"> volič</w:t>
      </w:r>
      <w:r>
        <w:rPr>
          <w:bCs/>
        </w:rPr>
        <w:t xml:space="preserve">ůparlamentních pravicových stran. Někteří z nich pak </w:t>
      </w:r>
      <w:r w:rsidRPr="000F4644">
        <w:rPr>
          <w:bCs/>
        </w:rPr>
        <w:t xml:space="preserve">k volbám </w:t>
      </w:r>
      <w:r>
        <w:rPr>
          <w:bCs/>
        </w:rPr>
        <w:t xml:space="preserve">vůbec </w:t>
      </w:r>
      <w:r w:rsidRPr="000F4644">
        <w:rPr>
          <w:bCs/>
        </w:rPr>
        <w:t>nepřišl</w:t>
      </w:r>
      <w:r>
        <w:rPr>
          <w:bCs/>
        </w:rPr>
        <w:t xml:space="preserve">i, jiní se přiklonili k </w:t>
      </w:r>
      <w:r w:rsidRPr="000F4644">
        <w:rPr>
          <w:bCs/>
        </w:rPr>
        <w:t>alternativn</w:t>
      </w:r>
      <w:r>
        <w:rPr>
          <w:bCs/>
        </w:rPr>
        <w:t>í</w:t>
      </w:r>
      <w:r w:rsidRPr="000F4644">
        <w:rPr>
          <w:bCs/>
        </w:rPr>
        <w:t xml:space="preserve"> volb</w:t>
      </w:r>
      <w:r>
        <w:rPr>
          <w:bCs/>
        </w:rPr>
        <w:t>ě,</w:t>
      </w:r>
      <w:r w:rsidRPr="000F4644">
        <w:rPr>
          <w:bCs/>
        </w:rPr>
        <w:t xml:space="preserve"> zejména </w:t>
      </w:r>
      <w:r>
        <w:rPr>
          <w:bCs/>
        </w:rPr>
        <w:t>k</w:t>
      </w:r>
      <w:r w:rsidRPr="000F4644">
        <w:rPr>
          <w:bCs/>
        </w:rPr>
        <w:t xml:space="preserve"> regionálním uskupením.</w:t>
      </w:r>
    </w:p>
    <w:p w:rsidR="00785933" w:rsidRDefault="00785933" w:rsidP="00663C45">
      <w:pPr>
        <w:rPr>
          <w:bCs/>
        </w:rPr>
      </w:pPr>
    </w:p>
    <w:p w:rsidR="00785933" w:rsidRPr="000F4644" w:rsidRDefault="00785933" w:rsidP="00663C45">
      <w:pPr>
        <w:rPr>
          <w:bCs/>
        </w:rPr>
      </w:pPr>
    </w:p>
    <w:p w:rsidR="00785933" w:rsidRDefault="00785933" w:rsidP="00B6756D"/>
    <w:p w:rsidR="00785933" w:rsidRDefault="00785933" w:rsidP="00B6756D"/>
    <w:p w:rsidR="00785933" w:rsidRPr="002E4731" w:rsidRDefault="00785933" w:rsidP="00CF0D3A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br w:type="page"/>
      </w:r>
      <w:r w:rsidRPr="002E4731">
        <w:rPr>
          <w:b/>
        </w:rPr>
        <w:t xml:space="preserve">Průměrná odchylka na jednu </w:t>
      </w:r>
      <w:r>
        <w:rPr>
          <w:b/>
        </w:rPr>
        <w:t xml:space="preserve">kandidující </w:t>
      </w:r>
      <w:r w:rsidRPr="002E4731">
        <w:rPr>
          <w:b/>
        </w:rPr>
        <w:t>stra</w:t>
      </w:r>
      <w:r>
        <w:rPr>
          <w:b/>
        </w:rPr>
        <w:t>nu</w:t>
      </w:r>
    </w:p>
    <w:p w:rsidR="00785933" w:rsidRPr="00CA4E31" w:rsidRDefault="00785933" w:rsidP="002E4731">
      <w:pPr>
        <w:rPr>
          <w:b/>
          <w:bCs/>
        </w:rPr>
      </w:pPr>
      <w:r>
        <w:t xml:space="preserve">Z absolutních odchylek výsledků výzkumu od reálného výsledku voleb, přepočtených na jednu kandidující stranu, je patrné, že </w:t>
      </w:r>
      <w:r w:rsidRPr="00CA4E31">
        <w:rPr>
          <w:b/>
        </w:rPr>
        <w:t xml:space="preserve">s blížícími se volbami docházelo k výraznému zpřesnění volebního modelu. </w:t>
      </w:r>
      <w:r>
        <w:t xml:space="preserve">Zatímco v prvních deseti dotazovaných krajích činila odchylka na jednu stranu v průměru 1,8 procentního bodu, </w:t>
      </w:r>
      <w:r w:rsidRPr="00CA4E31">
        <w:rPr>
          <w:b/>
        </w:rPr>
        <w:t>v posledních dvou týdnech před volbami to bylo jen 1,1 p.b.</w:t>
      </w:r>
    </w:p>
    <w:tbl>
      <w:tblPr>
        <w:tblW w:w="552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2142"/>
        <w:gridCol w:w="1559"/>
        <w:gridCol w:w="1819"/>
      </w:tblGrid>
      <w:tr w:rsidR="00785933" w:rsidRPr="00C666F9" w:rsidTr="00751F14">
        <w:trPr>
          <w:trHeight w:val="306"/>
        </w:trPr>
        <w:tc>
          <w:tcPr>
            <w:tcW w:w="5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PRŮMĚRNÁ ODCHYLKA NA JEDNU KANDIDUJÍCÍ STRANU</w:t>
            </w:r>
          </w:p>
        </w:tc>
      </w:tr>
      <w:tr w:rsidR="00785933" w:rsidRPr="00C666F9" w:rsidTr="00D1729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21. - 23. 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KV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5933" w:rsidRPr="00F91C8C" w:rsidRDefault="00785933" w:rsidP="00D1729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1,73</w:t>
            </w:r>
            <w:r w:rsidRPr="00751F14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p.b.</w:t>
            </w:r>
          </w:p>
        </w:tc>
      </w:tr>
      <w:tr w:rsidR="00785933" w:rsidRPr="00C666F9" w:rsidTr="00D1729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24. - 27. 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LIB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2,34</w:t>
            </w:r>
            <w:r w:rsidRPr="00751F14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p.b.</w:t>
            </w:r>
          </w:p>
        </w:tc>
      </w:tr>
      <w:tr w:rsidR="00785933" w:rsidRPr="00C666F9" w:rsidTr="00D1729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30. - 31. 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VYS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1,01</w:t>
            </w:r>
            <w:r w:rsidRPr="00751F14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p.b.</w:t>
            </w:r>
          </w:p>
        </w:tc>
      </w:tr>
      <w:tr w:rsidR="00785933" w:rsidRPr="00C666F9" w:rsidTr="00D1729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31. 8. - 2. 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PARD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1,70</w:t>
            </w:r>
            <w:r w:rsidRPr="00751F14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p.b.</w:t>
            </w:r>
          </w:p>
        </w:tc>
      </w:tr>
      <w:tr w:rsidR="00785933" w:rsidRPr="00C666F9" w:rsidTr="00D1729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5. 9. - 7. 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KH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2,32</w:t>
            </w:r>
            <w:r w:rsidRPr="00751F14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p.b.</w:t>
            </w:r>
          </w:p>
        </w:tc>
      </w:tr>
      <w:tr w:rsidR="00785933" w:rsidRPr="00C666F9" w:rsidTr="00D1729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7. 9. - 9. 9.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PLZ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1,88</w:t>
            </w:r>
            <w:r w:rsidRPr="00751F14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p.b.</w:t>
            </w:r>
          </w:p>
        </w:tc>
      </w:tr>
      <w:tr w:rsidR="00785933" w:rsidRPr="00C666F9" w:rsidTr="00D1729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12. - 14. 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ZL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1,40</w:t>
            </w:r>
            <w:r w:rsidRPr="00751F14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p.b.</w:t>
            </w:r>
          </w:p>
        </w:tc>
      </w:tr>
      <w:tr w:rsidR="00785933" w:rsidRPr="00C666F9" w:rsidTr="00D1729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14. 9. - 16. 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JIHC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2,04</w:t>
            </w:r>
            <w:r w:rsidRPr="00751F14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p.b.</w:t>
            </w:r>
          </w:p>
        </w:tc>
      </w:tr>
      <w:tr w:rsidR="00785933" w:rsidRPr="00C666F9" w:rsidTr="00D1729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19. 9. - 21. 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OL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1,57</w:t>
            </w:r>
            <w:r w:rsidRPr="00751F14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p.b.</w:t>
            </w:r>
          </w:p>
        </w:tc>
      </w:tr>
      <w:tr w:rsidR="00785933" w:rsidRPr="00C666F9" w:rsidTr="00D1729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20. 9. - 22. 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UST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1,57</w:t>
            </w:r>
            <w:r w:rsidRPr="00751F14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p.b.</w:t>
            </w:r>
          </w:p>
        </w:tc>
      </w:tr>
      <w:tr w:rsidR="00785933" w:rsidRPr="00C666F9" w:rsidTr="00D1729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25. 9. - 28. 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JIHM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1,22</w:t>
            </w:r>
            <w:r w:rsidRPr="00751F14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p.b.</w:t>
            </w:r>
          </w:p>
        </w:tc>
      </w:tr>
      <w:tr w:rsidR="00785933" w:rsidRPr="00C666F9" w:rsidTr="00D1729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25. 9. - 28. 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MSL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1,14</w:t>
            </w:r>
            <w:r w:rsidRPr="00751F14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p.b.</w:t>
            </w:r>
          </w:p>
        </w:tc>
      </w:tr>
      <w:tr w:rsidR="00785933" w:rsidRPr="00C666F9" w:rsidTr="00D17299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2. 10. - 4. 10.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STRC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noWrap/>
            <w:vAlign w:val="center"/>
          </w:tcPr>
          <w:p w:rsidR="00785933" w:rsidRPr="00F91C8C" w:rsidRDefault="00785933" w:rsidP="00F91C8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F91C8C">
              <w:rPr>
                <w:rFonts w:cs="Calibri"/>
                <w:color w:val="000000"/>
                <w:sz w:val="20"/>
                <w:szCs w:val="20"/>
                <w:lang w:eastAsia="cs-CZ"/>
              </w:rPr>
              <w:t>0,98</w:t>
            </w:r>
            <w:r w:rsidRPr="00751F14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p.b.</w:t>
            </w:r>
          </w:p>
        </w:tc>
      </w:tr>
    </w:tbl>
    <w:p w:rsidR="00785933" w:rsidRDefault="00785933" w:rsidP="00B6756D"/>
    <w:p w:rsidR="00785933" w:rsidRPr="002E4731" w:rsidRDefault="00785933" w:rsidP="00823640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Volební účast</w:t>
      </w:r>
    </w:p>
    <w:p w:rsidR="00785933" w:rsidRPr="00823640" w:rsidRDefault="00785933" w:rsidP="00B6756D">
      <w:r>
        <w:t xml:space="preserve">Výzkum realizovaný </w:t>
      </w:r>
      <w:r w:rsidRPr="00823640">
        <w:t xml:space="preserve">ČT </w:t>
      </w:r>
      <w:r>
        <w:t>předpokládal</w:t>
      </w:r>
      <w:r w:rsidRPr="00823640">
        <w:t xml:space="preserve"> volební účast </w:t>
      </w:r>
      <w:r>
        <w:t xml:space="preserve">v průměru </w:t>
      </w:r>
      <w:r w:rsidRPr="00823640">
        <w:t>okolo 48 %</w:t>
      </w:r>
      <w:r>
        <w:t>,ve skutečnosti byla však výrazně nižší, celostátně 37%. Jednalo se přitom o systematické nadhodnoceníúčasti (došlo k němu ve všech krajích).</w:t>
      </w:r>
      <w:r w:rsidRPr="00823640">
        <w:t xml:space="preserve">Ukazuje se, že model postavený na deklarované ochotě zúčastnit se voleb může být zatížen </w:t>
      </w:r>
      <w:r>
        <w:t xml:space="preserve">výraznou </w:t>
      </w:r>
      <w:r w:rsidRPr="00823640">
        <w:t xml:space="preserve">chybou. Existuje </w:t>
      </w:r>
      <w:r>
        <w:t xml:space="preserve">zřejmě celá řada faktorů, </w:t>
      </w:r>
      <w:r w:rsidRPr="00823640">
        <w:t xml:space="preserve">které </w:t>
      </w:r>
      <w:r>
        <w:t xml:space="preserve">mají na reálnou účast významný vliv a přitom je nelze do modelu zahrnout </w:t>
      </w:r>
      <w:r w:rsidRPr="00823640">
        <w:t xml:space="preserve">(momentální nálada voličů, počasí, aféry atp.). </w:t>
      </w:r>
    </w:p>
    <w:tbl>
      <w:tblPr>
        <w:tblW w:w="288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063"/>
        <w:gridCol w:w="986"/>
        <w:gridCol w:w="831"/>
      </w:tblGrid>
      <w:tr w:rsidR="00785933" w:rsidRPr="00C666F9" w:rsidTr="00823640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VOLEBNÍ  ÚČAST</w:t>
            </w:r>
          </w:p>
        </w:tc>
      </w:tr>
      <w:tr w:rsidR="00785933" w:rsidRPr="00C666F9" w:rsidTr="00823640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KRAJ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REAL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ČT</w:t>
            </w:r>
          </w:p>
        </w:tc>
      </w:tr>
      <w:tr w:rsidR="00785933" w:rsidRPr="00C666F9" w:rsidTr="00823640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KV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32%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44%</w:t>
            </w:r>
          </w:p>
        </w:tc>
      </w:tr>
      <w:tr w:rsidR="00785933" w:rsidRPr="00C666F9" w:rsidTr="00823640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LIB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39%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46%</w:t>
            </w:r>
          </w:p>
        </w:tc>
      </w:tr>
      <w:tr w:rsidR="00785933" w:rsidRPr="00C666F9" w:rsidTr="00823640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VYS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41%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49%</w:t>
            </w:r>
          </w:p>
        </w:tc>
      </w:tr>
      <w:tr w:rsidR="00785933" w:rsidRPr="00C666F9" w:rsidTr="00823640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PARD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39%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48%</w:t>
            </w:r>
          </w:p>
        </w:tc>
      </w:tr>
      <w:tr w:rsidR="00785933" w:rsidRPr="00C666F9" w:rsidTr="00823640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KH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38%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48%</w:t>
            </w:r>
          </w:p>
        </w:tc>
      </w:tr>
      <w:tr w:rsidR="00785933" w:rsidRPr="00C666F9" w:rsidTr="00823640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PLZ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38%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48%</w:t>
            </w:r>
          </w:p>
        </w:tc>
      </w:tr>
      <w:tr w:rsidR="00785933" w:rsidRPr="00C666F9" w:rsidTr="00823640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ZL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40%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48%</w:t>
            </w:r>
          </w:p>
        </w:tc>
      </w:tr>
      <w:tr w:rsidR="00785933" w:rsidRPr="00C666F9" w:rsidTr="00823640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JIHC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39%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49%</w:t>
            </w:r>
          </w:p>
        </w:tc>
      </w:tr>
      <w:tr w:rsidR="00785933" w:rsidRPr="00C666F9" w:rsidTr="00823640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OL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36%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49%</w:t>
            </w:r>
          </w:p>
        </w:tc>
      </w:tr>
      <w:tr w:rsidR="00785933" w:rsidRPr="00C666F9" w:rsidTr="00823640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UST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34%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49%</w:t>
            </w:r>
          </w:p>
        </w:tc>
      </w:tr>
      <w:tr w:rsidR="00785933" w:rsidRPr="00C666F9" w:rsidTr="00823640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JIHM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38%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48%</w:t>
            </w:r>
          </w:p>
        </w:tc>
      </w:tr>
      <w:tr w:rsidR="00785933" w:rsidRPr="00C666F9" w:rsidTr="00823640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MSL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33%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48%</w:t>
            </w:r>
          </w:p>
        </w:tc>
      </w:tr>
      <w:tr w:rsidR="00785933" w:rsidRPr="00C666F9" w:rsidTr="00823640">
        <w:trPr>
          <w:trHeight w:val="315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STRC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36%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5933" w:rsidRPr="00823640" w:rsidRDefault="00785933" w:rsidP="0082364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823640">
              <w:rPr>
                <w:rFonts w:cs="Calibri"/>
                <w:color w:val="000000"/>
                <w:sz w:val="20"/>
                <w:szCs w:val="20"/>
                <w:lang w:eastAsia="cs-CZ"/>
              </w:rPr>
              <w:t>50%</w:t>
            </w:r>
          </w:p>
        </w:tc>
      </w:tr>
    </w:tbl>
    <w:p w:rsidR="00785933" w:rsidRDefault="00785933" w:rsidP="00751F14">
      <w:pPr>
        <w:rPr>
          <w:b/>
          <w:sz w:val="26"/>
          <w:szCs w:val="26"/>
        </w:rPr>
      </w:pPr>
    </w:p>
    <w:p w:rsidR="00785933" w:rsidRPr="00BB0EC6" w:rsidRDefault="00785933" w:rsidP="006439F9">
      <w:pPr>
        <w:pStyle w:val="ListParagraph"/>
        <w:keepNext/>
        <w:keepLines/>
        <w:numPr>
          <w:ilvl w:val="0"/>
          <w:numId w:val="17"/>
        </w:numPr>
        <w:pBdr>
          <w:bottom w:val="single" w:sz="4" w:space="1" w:color="auto"/>
        </w:pBdr>
        <w:spacing w:before="200" w:after="0"/>
        <w:contextualSpacing w:val="0"/>
        <w:outlineLvl w:val="1"/>
        <w:rPr>
          <w:rFonts w:ascii="Cambria" w:hAnsi="Cambria"/>
          <w:b/>
          <w:bCs/>
          <w:vanish/>
          <w:color w:val="4F81BD"/>
          <w:sz w:val="26"/>
          <w:szCs w:val="26"/>
        </w:rPr>
      </w:pPr>
      <w:r w:rsidRPr="006439F9">
        <w:rPr>
          <w:rFonts w:ascii="Cambria" w:hAnsi="Cambria"/>
          <w:b/>
          <w:bCs/>
          <w:color w:val="365F91"/>
          <w:sz w:val="28"/>
          <w:szCs w:val="28"/>
        </w:rPr>
        <w:t>Vyhodnocení přístupu ČT a koncepce pravidel</w:t>
      </w:r>
    </w:p>
    <w:p w:rsidR="00785933" w:rsidRDefault="00785933" w:rsidP="006439F9">
      <w:pPr>
        <w:pBdr>
          <w:bottom w:val="single" w:sz="4" w:space="1" w:color="auto"/>
        </w:pBdr>
      </w:pPr>
    </w:p>
    <w:p w:rsidR="00785933" w:rsidRDefault="00785933" w:rsidP="006439F9">
      <w:r>
        <w:t xml:space="preserve">Management České televize se po zvážení situace rozhodl pro nastavení metodického řešení, resp. řízení přístupu pracovníků v průběhu krajských voleb a doplňovacích voleb do Senátu PČR. Proto došlo k přijetí vnitřní normy ČTnazvané </w:t>
      </w:r>
      <w:r>
        <w:rPr>
          <w:b/>
          <w:i/>
        </w:rPr>
        <w:t>Pravidla předvolebního a volebního vysílání České televize  -  volby do Senátu Poslanecké sněmovny Parlamentu a do krajských zastupitelstev v roce 2012</w:t>
      </w:r>
      <w:r>
        <w:t xml:space="preserve">. </w:t>
      </w:r>
    </w:p>
    <w:p w:rsidR="00785933" w:rsidRDefault="00785933" w:rsidP="006439F9">
      <w:r>
        <w:t>Tento dokument byl konkrétním a jednoznačným vodítkem pro práci redaktorů, moderátorů, dramaturgů i editorů. Jednalo se o veřejný dokument, který umožnil transparentní a korektní redakční rozhodování a jeho kontrolu ze strany veřejnosti.</w:t>
      </w:r>
    </w:p>
    <w:p w:rsidR="00785933" w:rsidRDefault="00785933" w:rsidP="003E0C62"/>
    <w:p w:rsidR="00785933" w:rsidRDefault="00785933" w:rsidP="00FB3953">
      <w:pPr>
        <w:pStyle w:val="Heading2"/>
        <w:numPr>
          <w:ilvl w:val="1"/>
          <w:numId w:val="17"/>
        </w:numPr>
        <w:ind w:left="426"/>
      </w:pPr>
      <w:r w:rsidRPr="00FB3953">
        <w:t xml:space="preserve">Žádosti o informace a stížnosti, týkající se předvolebního vysílání </w:t>
      </w:r>
    </w:p>
    <w:p w:rsidR="00785933" w:rsidRDefault="00785933" w:rsidP="003E0C62">
      <w:pPr>
        <w:outlineLvl w:val="0"/>
        <w:rPr>
          <w:b/>
          <w:u w:val="single"/>
        </w:rPr>
      </w:pPr>
    </w:p>
    <w:p w:rsidR="00785933" w:rsidRPr="00FB3953" w:rsidRDefault="00785933" w:rsidP="003E0C62">
      <w:pPr>
        <w:outlineLvl w:val="0"/>
        <w:rPr>
          <w:b/>
          <w:u w:val="single"/>
        </w:rPr>
      </w:pPr>
      <w:r w:rsidRPr="00FB3953">
        <w:rPr>
          <w:b/>
          <w:u w:val="single"/>
        </w:rPr>
        <w:t>1. Žádosti o informace podle zák. č. 106/1999 Sb., o svobodném přístupu k informacím</w:t>
      </w:r>
    </w:p>
    <w:p w:rsidR="00785933" w:rsidRDefault="00785933" w:rsidP="003E0C62">
      <w:pPr>
        <w:spacing w:after="0"/>
      </w:pPr>
      <w:r>
        <w:t xml:space="preserve">Počet obdržených žádostí                                                                      </w:t>
      </w:r>
      <w:r>
        <w:tab/>
        <w:t>4</w:t>
      </w:r>
    </w:p>
    <w:p w:rsidR="00785933" w:rsidRPr="00FB3953" w:rsidRDefault="00785933" w:rsidP="00FB3953">
      <w:pPr>
        <w:spacing w:after="0"/>
        <w:ind w:left="708"/>
        <w:rPr>
          <w:i/>
        </w:rPr>
      </w:pPr>
      <w:r w:rsidRPr="00FB3953">
        <w:rPr>
          <w:i/>
        </w:rPr>
        <w:t>(z toho 1 žádost nesplňovala náležitosti stanovené zák. č. 106/1999 Sb., proto byly informace poskytnuty neformálně)</w:t>
      </w:r>
    </w:p>
    <w:p w:rsidR="00785933" w:rsidRDefault="00785933" w:rsidP="003E0C62">
      <w:pPr>
        <w:spacing w:after="0"/>
      </w:pPr>
      <w:r>
        <w:t xml:space="preserve">Počet vydaných rozhodnutí o odmítnutí žádostí                                  </w:t>
      </w:r>
      <w:r>
        <w:tab/>
        <w:t>1</w:t>
      </w:r>
    </w:p>
    <w:p w:rsidR="00785933" w:rsidRDefault="00785933" w:rsidP="003E0C62">
      <w:pPr>
        <w:spacing w:after="0"/>
      </w:pPr>
      <w:r>
        <w:t xml:space="preserve">Počet vydaných rozhodnutí o částečném odmítnutí žádosti                  </w:t>
      </w:r>
      <w:r>
        <w:tab/>
        <w:t>2</w:t>
      </w:r>
      <w:r>
        <w:rPr>
          <w:rStyle w:val="FootnoteReference"/>
        </w:rPr>
        <w:footnoteReference w:id="2"/>
      </w:r>
    </w:p>
    <w:p w:rsidR="00785933" w:rsidRDefault="00785933" w:rsidP="003E0C62">
      <w:pPr>
        <w:spacing w:after="0"/>
      </w:pPr>
      <w:r>
        <w:t xml:space="preserve">Počet podaných odvolání proti rozhodnutí                                             </w:t>
      </w:r>
      <w:r>
        <w:tab/>
        <w:t>2</w:t>
      </w:r>
    </w:p>
    <w:p w:rsidR="00785933" w:rsidRDefault="00785933" w:rsidP="003E0C62">
      <w:pPr>
        <w:spacing w:after="0"/>
      </w:pPr>
      <w:r>
        <w:t xml:space="preserve">Počet stížností na způsob poskytnutí informace                                    </w:t>
      </w:r>
      <w:r>
        <w:tab/>
        <w:t>1</w:t>
      </w:r>
    </w:p>
    <w:p w:rsidR="00785933" w:rsidRDefault="00785933" w:rsidP="003E0C62"/>
    <w:p w:rsidR="00785933" w:rsidRPr="003E0C62" w:rsidRDefault="00785933" w:rsidP="00FB3953">
      <w:pPr>
        <w:spacing w:after="0"/>
        <w:rPr>
          <w:b/>
          <w:i/>
        </w:rPr>
      </w:pPr>
      <w:r w:rsidRPr="003E0C62">
        <w:rPr>
          <w:b/>
          <w:i/>
        </w:rPr>
        <w:t>Požadované informace se týkaly:</w:t>
      </w:r>
    </w:p>
    <w:p w:rsidR="00785933" w:rsidRDefault="00785933" w:rsidP="003E0C62">
      <w:pPr>
        <w:numPr>
          <w:ilvl w:val="0"/>
          <w:numId w:val="18"/>
        </w:numPr>
        <w:spacing w:after="0" w:line="240" w:lineRule="auto"/>
      </w:pPr>
      <w:r>
        <w:t>Způsob, jakým Česká televize informovala veřejnost o studentských volbách 2012 (stažení internetového článku, který obsahoval výsledky voleb)</w:t>
      </w:r>
    </w:p>
    <w:p w:rsidR="00785933" w:rsidRDefault="00785933" w:rsidP="003E0C62">
      <w:pPr>
        <w:numPr>
          <w:ilvl w:val="0"/>
          <w:numId w:val="18"/>
        </w:numPr>
        <w:spacing w:after="0" w:line="240" w:lineRule="auto"/>
      </w:pPr>
      <w:r>
        <w:t>Kompletní datové matice z předvolebních výzkumů České televize</w:t>
      </w:r>
    </w:p>
    <w:p w:rsidR="00785933" w:rsidRDefault="00785933" w:rsidP="003E0C62">
      <w:pPr>
        <w:numPr>
          <w:ilvl w:val="0"/>
          <w:numId w:val="18"/>
        </w:numPr>
        <w:spacing w:after="0" w:line="240" w:lineRule="auto"/>
      </w:pPr>
      <w:r>
        <w:t>Předvolební průzkumy, debaty k volbám, kopie smluv s agenturami SC</w:t>
      </w:r>
      <w:r>
        <w:sym w:font="Symbol" w:char="F026"/>
      </w:r>
      <w:r>
        <w:t>C a STEM/MARK, zdrojová data</w:t>
      </w:r>
    </w:p>
    <w:p w:rsidR="00785933" w:rsidRDefault="00785933" w:rsidP="003E0C62">
      <w:pPr>
        <w:numPr>
          <w:ilvl w:val="0"/>
          <w:numId w:val="18"/>
        </w:numPr>
        <w:spacing w:after="0" w:line="240" w:lineRule="auto"/>
      </w:pPr>
      <w:r>
        <w:t>Výběr agentur SC</w:t>
      </w:r>
      <w:r>
        <w:sym w:font="Symbol" w:char="F026"/>
      </w:r>
      <w:r>
        <w:t>C a STEM/MARK, potrestání konkrétních osob a vymáhání smluvních pokut v souvislosti s údajně nepovedenými předvolebními průzkumy</w:t>
      </w:r>
    </w:p>
    <w:p w:rsidR="00785933" w:rsidRDefault="00785933" w:rsidP="003E0C62"/>
    <w:p w:rsidR="00785933" w:rsidRPr="003E0C62" w:rsidRDefault="00785933" w:rsidP="003E0C62">
      <w:pPr>
        <w:outlineLvl w:val="0"/>
        <w:rPr>
          <w:b/>
        </w:rPr>
      </w:pPr>
      <w:r w:rsidRPr="003E0C62">
        <w:rPr>
          <w:b/>
        </w:rPr>
        <w:t xml:space="preserve">2. </w:t>
      </w:r>
      <w:r w:rsidRPr="003E0C62">
        <w:rPr>
          <w:b/>
          <w:u w:val="single"/>
        </w:rPr>
        <w:t>Ostatní stížnosti na postup České televize</w:t>
      </w:r>
    </w:p>
    <w:p w:rsidR="00785933" w:rsidRDefault="00785933" w:rsidP="003E0C62">
      <w:pPr>
        <w:spacing w:after="0"/>
      </w:pPr>
      <w:r>
        <w:t xml:space="preserve">Počet obdržených stížností                                                           </w:t>
      </w:r>
      <w:r>
        <w:tab/>
      </w:r>
      <w:r>
        <w:tab/>
        <w:t xml:space="preserve">19 </w:t>
      </w:r>
    </w:p>
    <w:p w:rsidR="00785933" w:rsidRDefault="00785933" w:rsidP="003E0C62">
      <w:pPr>
        <w:spacing w:after="0"/>
      </w:pPr>
      <w:r>
        <w:t xml:space="preserve">Počet oprávněných stížností                                                           </w:t>
      </w:r>
      <w:r>
        <w:tab/>
      </w:r>
      <w:r>
        <w:tab/>
        <w:t>1</w:t>
      </w:r>
    </w:p>
    <w:p w:rsidR="00785933" w:rsidRPr="00FB3953" w:rsidRDefault="00785933" w:rsidP="003E0C62">
      <w:pPr>
        <w:spacing w:after="0"/>
        <w:rPr>
          <w:i/>
        </w:rPr>
      </w:pPr>
      <w:r>
        <w:t xml:space="preserve">Počet dosud nevyřízených stížnosti </w:t>
      </w:r>
      <w:r>
        <w:tab/>
      </w:r>
      <w:r>
        <w:tab/>
      </w:r>
      <w:r>
        <w:tab/>
      </w:r>
      <w:r>
        <w:tab/>
      </w:r>
      <w:r>
        <w:tab/>
        <w:t>4</w:t>
      </w:r>
      <w:r>
        <w:rPr>
          <w:rStyle w:val="FootnoteReference"/>
        </w:rPr>
        <w:footnoteReference w:id="3"/>
      </w:r>
      <w:r>
        <w:br/>
      </w:r>
      <w:r w:rsidRPr="00FB3953">
        <w:rPr>
          <w:i/>
        </w:rPr>
        <w:t xml:space="preserve">(předložené k posouzení Etickému panelu podle Kodexu ČT)                              </w:t>
      </w:r>
      <w:r w:rsidRPr="00FB3953">
        <w:rPr>
          <w:i/>
        </w:rPr>
        <w:tab/>
      </w:r>
      <w:r w:rsidRPr="00FB3953">
        <w:rPr>
          <w:i/>
        </w:rPr>
        <w:tab/>
      </w:r>
    </w:p>
    <w:p w:rsidR="00785933" w:rsidRDefault="00785933" w:rsidP="003E0C62"/>
    <w:p w:rsidR="00785933" w:rsidRPr="003E0C62" w:rsidRDefault="00785933" w:rsidP="00FB3953">
      <w:pPr>
        <w:spacing w:after="0"/>
        <w:rPr>
          <w:b/>
          <w:i/>
        </w:rPr>
      </w:pPr>
      <w:r w:rsidRPr="003E0C62">
        <w:rPr>
          <w:b/>
          <w:i/>
        </w:rPr>
        <w:t>Stížnosti se týkaly:</w:t>
      </w:r>
    </w:p>
    <w:p w:rsidR="00785933" w:rsidRDefault="00785933" w:rsidP="003E0C62">
      <w:pPr>
        <w:numPr>
          <w:ilvl w:val="0"/>
          <w:numId w:val="19"/>
        </w:numPr>
        <w:spacing w:after="0" w:line="240" w:lineRule="auto"/>
      </w:pPr>
      <w:r>
        <w:t>Stanovisko strany NS LEV 21 k obsazování předvolebních televizních debat, srovnání s průzkumem společnosti SANEP</w:t>
      </w:r>
    </w:p>
    <w:p w:rsidR="00785933" w:rsidRDefault="00785933" w:rsidP="003E0C62">
      <w:pPr>
        <w:numPr>
          <w:ilvl w:val="0"/>
          <w:numId w:val="19"/>
        </w:numPr>
        <w:spacing w:after="0" w:line="240" w:lineRule="auto"/>
      </w:pPr>
      <w:r>
        <w:t>Neodvysílání tiskové konference strany NS LEV 21</w:t>
      </w:r>
    </w:p>
    <w:p w:rsidR="00785933" w:rsidRDefault="00785933" w:rsidP="003E0C62">
      <w:pPr>
        <w:numPr>
          <w:ilvl w:val="0"/>
          <w:numId w:val="19"/>
        </w:numPr>
        <w:spacing w:after="0" w:line="240" w:lineRule="auto"/>
      </w:pPr>
      <w:r>
        <w:t>Absence diskusních debat k volbám do Senátu</w:t>
      </w:r>
    </w:p>
    <w:p w:rsidR="00785933" w:rsidRDefault="00785933" w:rsidP="003E0C62">
      <w:pPr>
        <w:numPr>
          <w:ilvl w:val="0"/>
          <w:numId w:val="19"/>
        </w:numPr>
        <w:spacing w:after="0" w:line="240" w:lineRule="auto"/>
      </w:pPr>
      <w:r>
        <w:t>Znemožnění účasti A. Babiše v pořadu Máte slovo (2x)</w:t>
      </w:r>
    </w:p>
    <w:p w:rsidR="00785933" w:rsidRDefault="00785933" w:rsidP="003E0C62">
      <w:pPr>
        <w:numPr>
          <w:ilvl w:val="0"/>
          <w:numId w:val="19"/>
        </w:numPr>
        <w:spacing w:after="0" w:line="240" w:lineRule="auto"/>
      </w:pPr>
      <w:r>
        <w:t>Porušení Kodexu České televize – komentář redaktora Fišera na adresu Komunistické strany při ranním listování v tisku (2x)</w:t>
      </w:r>
    </w:p>
    <w:p w:rsidR="00785933" w:rsidRDefault="00785933" w:rsidP="003E0C62">
      <w:pPr>
        <w:numPr>
          <w:ilvl w:val="0"/>
          <w:numId w:val="19"/>
        </w:numPr>
        <w:spacing w:after="0" w:line="240" w:lineRule="auto"/>
      </w:pPr>
      <w:r>
        <w:t>Údajné nepřímé odsouzení Komunistické strany Danielem Takáčem při parafrázování slov předsedy KSČ v povolebním vysílání</w:t>
      </w:r>
    </w:p>
    <w:p w:rsidR="00785933" w:rsidRDefault="00785933" w:rsidP="003E0C62">
      <w:pPr>
        <w:numPr>
          <w:ilvl w:val="0"/>
          <w:numId w:val="19"/>
        </w:numPr>
        <w:spacing w:after="0" w:line="240" w:lineRule="auto"/>
      </w:pPr>
      <w:r>
        <w:t>Otevřený dopis „Změna 2012“ – výzva k odpovědnosti za volební vysílání</w:t>
      </w:r>
    </w:p>
    <w:p w:rsidR="00785933" w:rsidRDefault="00785933" w:rsidP="003E0C62">
      <w:pPr>
        <w:numPr>
          <w:ilvl w:val="0"/>
          <w:numId w:val="19"/>
        </w:numPr>
        <w:spacing w:after="0" w:line="240" w:lineRule="auto"/>
      </w:pPr>
      <w:r>
        <w:t>Stížnost na předvolební studio ve Středočeském kraji – propagace jiného kandidáta L. Michálka</w:t>
      </w:r>
    </w:p>
    <w:p w:rsidR="00785933" w:rsidRDefault="00785933" w:rsidP="003E0C62">
      <w:pPr>
        <w:numPr>
          <w:ilvl w:val="0"/>
          <w:numId w:val="19"/>
        </w:numPr>
        <w:spacing w:after="0" w:line="240" w:lineRule="auto"/>
      </w:pPr>
      <w:r>
        <w:t>Upozornění na používání nesprávné zkratky České pirátské strany</w:t>
      </w:r>
    </w:p>
    <w:p w:rsidR="00785933" w:rsidRDefault="00785933" w:rsidP="003E0C62">
      <w:pPr>
        <w:numPr>
          <w:ilvl w:val="0"/>
          <w:numId w:val="19"/>
        </w:numPr>
        <w:spacing w:after="0" w:line="240" w:lineRule="auto"/>
      </w:pPr>
      <w:r>
        <w:t>Údajné falšování volebních průzkumů</w:t>
      </w:r>
    </w:p>
    <w:p w:rsidR="00785933" w:rsidRDefault="00785933" w:rsidP="003E0C62">
      <w:pPr>
        <w:numPr>
          <w:ilvl w:val="0"/>
          <w:numId w:val="19"/>
        </w:numPr>
        <w:spacing w:after="0" w:line="240" w:lineRule="auto"/>
      </w:pPr>
      <w:r>
        <w:t>Označení agentur SC</w:t>
      </w:r>
      <w:r>
        <w:sym w:font="Symbol" w:char="F026"/>
      </w:r>
      <w:r>
        <w:t>C a STEM/MARK za nevěrohodné subjekty a kritika výběru těchto agentur, znemožnění přístupu některým novinářům na tiskové konference</w:t>
      </w:r>
    </w:p>
    <w:p w:rsidR="00785933" w:rsidRDefault="00785933" w:rsidP="003E0C62">
      <w:pPr>
        <w:numPr>
          <w:ilvl w:val="0"/>
          <w:numId w:val="19"/>
        </w:numPr>
        <w:spacing w:after="0" w:line="240" w:lineRule="auto"/>
      </w:pPr>
      <w:r>
        <w:t>Účast kandidáta do Senátu V. Šindeláře v pořadu Zahrada pod lupou</w:t>
      </w:r>
    </w:p>
    <w:p w:rsidR="00785933" w:rsidRDefault="00785933" w:rsidP="003E0C62">
      <w:pPr>
        <w:numPr>
          <w:ilvl w:val="0"/>
          <w:numId w:val="19"/>
        </w:numPr>
        <w:spacing w:after="0" w:line="240" w:lineRule="auto"/>
      </w:pPr>
      <w:r>
        <w:t>Právní vady smluv s agenturami SC</w:t>
      </w:r>
      <w:r>
        <w:sym w:font="Symbol" w:char="F026"/>
      </w:r>
      <w:r>
        <w:t>C a STEM/MARK, způsob vyřízení jedné ze žádostí o informaci, manipulace s předvolebními průzkumy</w:t>
      </w:r>
    </w:p>
    <w:p w:rsidR="00785933" w:rsidRDefault="00785933" w:rsidP="003E0C62">
      <w:pPr>
        <w:numPr>
          <w:ilvl w:val="0"/>
          <w:numId w:val="19"/>
        </w:numPr>
        <w:spacing w:after="0" w:line="240" w:lineRule="auto"/>
      </w:pPr>
      <w:r>
        <w:t>Neúčast zástupce Strany zelených v pořadu Otázky Václava Moravce dne 15.7.2012 a účast K. Raise v tomto pořadu dne 9.9.2012 bez uvedení jeho politické příslušnosti</w:t>
      </w:r>
    </w:p>
    <w:p w:rsidR="00785933" w:rsidRDefault="00785933" w:rsidP="003E0C62">
      <w:pPr>
        <w:numPr>
          <w:ilvl w:val="0"/>
          <w:numId w:val="19"/>
        </w:numPr>
        <w:spacing w:after="0" w:line="240" w:lineRule="auto"/>
      </w:pPr>
      <w:r>
        <w:t>Příprava pořadu Otázky Václava Moravce (anonym)</w:t>
      </w:r>
    </w:p>
    <w:p w:rsidR="00785933" w:rsidRDefault="00785933" w:rsidP="003E0C62">
      <w:pPr>
        <w:numPr>
          <w:ilvl w:val="0"/>
          <w:numId w:val="19"/>
        </w:numPr>
        <w:spacing w:after="0" w:line="240" w:lineRule="auto"/>
      </w:pPr>
      <w:r>
        <w:t>Diskriminace malých politických stran ve vysílání České televize</w:t>
      </w:r>
    </w:p>
    <w:p w:rsidR="00785933" w:rsidRDefault="00785933" w:rsidP="003E0C62">
      <w:pPr>
        <w:numPr>
          <w:ilvl w:val="0"/>
          <w:numId w:val="19"/>
        </w:numPr>
        <w:spacing w:after="0" w:line="240" w:lineRule="auto"/>
      </w:pPr>
      <w:r>
        <w:t>Stížnost na pořad Otázky Václava Moravce speciál – účast dovolena pouze 6 lídrům politických stran určených dle průzkumů</w:t>
      </w:r>
    </w:p>
    <w:p w:rsidR="00785933" w:rsidRDefault="00785933" w:rsidP="003E0C62"/>
    <w:p w:rsidR="00785933" w:rsidRDefault="00785933" w:rsidP="003E0C62">
      <w:pPr>
        <w:jc w:val="both"/>
      </w:pPr>
      <w:r>
        <w:t>Žádosti o informace a stížnosti byly posuzovány podle platných právních předpisů, Kodexu České televize – zásady naplňování veřejné služby oblasti televizního vysílání a Pravidla předvolebního a volebního vysílání České televize v souvislosti s volbami do Senátu Parlamentu České republiky a do krajských zastupitelstev v roce 2012.</w:t>
      </w:r>
    </w:p>
    <w:p w:rsidR="00785933" w:rsidRDefault="00785933" w:rsidP="003E0C62">
      <w:pPr>
        <w:jc w:val="both"/>
      </w:pPr>
    </w:p>
    <w:p w:rsidR="00785933" w:rsidRDefault="00785933" w:rsidP="003E0C62">
      <w:pPr>
        <w:jc w:val="both"/>
      </w:pPr>
      <w:r>
        <w:t>České televizi není známo, že by z titulu shora uvedených žádostí a stížností bylo s Českou televizí zahájení správní nebo soudní řízení, případně podáno trestní oznámení.</w:t>
      </w:r>
    </w:p>
    <w:p w:rsidR="00785933" w:rsidRDefault="00785933" w:rsidP="003E0C62">
      <w:pPr>
        <w:jc w:val="both"/>
      </w:pPr>
      <w:r>
        <w:t xml:space="preserve">Vzhledem k počtu a vyřízení výše uvedených stížností lze dovodit, že </w:t>
      </w:r>
      <w:r w:rsidRPr="00FB3953">
        <w:t>Pravidla předvolebního a volebního vysílání České televize  -  volby do Senátu Poslanecké sněmovny Parlamentu a do krajských zastupitelstev v roce 2012</w:t>
      </w:r>
      <w:r>
        <w:t xml:space="preserve"> splnila účel, s jakým byla vytvářena.</w:t>
      </w:r>
    </w:p>
    <w:p w:rsidR="00785933" w:rsidRDefault="00785933" w:rsidP="006439F9"/>
    <w:p w:rsidR="00785933" w:rsidRDefault="00785933" w:rsidP="006439F9"/>
    <w:p w:rsidR="00785933" w:rsidRDefault="00785933" w:rsidP="006439F9"/>
    <w:p w:rsidR="00785933" w:rsidRDefault="00785933" w:rsidP="006439F9"/>
    <w:p w:rsidR="00785933" w:rsidRDefault="00785933" w:rsidP="006439F9"/>
    <w:p w:rsidR="00785933" w:rsidRDefault="00785933" w:rsidP="006439F9"/>
    <w:p w:rsidR="00785933" w:rsidRPr="0030578C" w:rsidRDefault="00785933" w:rsidP="00751F14"/>
    <w:p w:rsidR="00785933" w:rsidRDefault="00785933" w:rsidP="00751F14">
      <w:pPr>
        <w:rPr>
          <w:b/>
          <w:sz w:val="26"/>
          <w:szCs w:val="26"/>
        </w:rPr>
      </w:pPr>
    </w:p>
    <w:p w:rsidR="00785933" w:rsidRDefault="00785933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785933" w:rsidRPr="00751F14" w:rsidRDefault="00785933" w:rsidP="00751F14">
      <w:pPr>
        <w:pBdr>
          <w:bottom w:val="single" w:sz="4" w:space="1" w:color="auto"/>
        </w:pBdr>
        <w:rPr>
          <w:b/>
          <w:sz w:val="26"/>
          <w:szCs w:val="26"/>
        </w:rPr>
      </w:pPr>
      <w:r w:rsidRPr="00751F14">
        <w:rPr>
          <w:b/>
          <w:sz w:val="26"/>
          <w:szCs w:val="26"/>
        </w:rPr>
        <w:t>Příloha 1</w:t>
      </w:r>
    </w:p>
    <w:p w:rsidR="00785933" w:rsidRPr="00F150B7" w:rsidRDefault="00785933" w:rsidP="00D766BD">
      <w:pPr>
        <w:rPr>
          <w:b/>
          <w:bCs/>
        </w:rPr>
      </w:pPr>
      <w:r>
        <w:rPr>
          <w:b/>
          <w:bCs/>
        </w:rPr>
        <w:t>PRŮZKUMY VEŘEJNÉHO MÍNĚNÍ - PRAVIDLA SP</w:t>
      </w:r>
      <w:r w:rsidRPr="00F150B7">
        <w:rPr>
          <w:b/>
          <w:bCs/>
        </w:rPr>
        <w:t>OLU</w:t>
      </w:r>
      <w:r>
        <w:rPr>
          <w:b/>
          <w:bCs/>
        </w:rPr>
        <w:t>PRÁCE ODBORNÉHO PROCESNÍHO TÝMU</w:t>
      </w:r>
    </w:p>
    <w:p w:rsidR="00785933" w:rsidRPr="00F150B7" w:rsidRDefault="00785933" w:rsidP="000D1719">
      <w:pPr>
        <w:spacing w:after="80"/>
      </w:pPr>
      <w:r w:rsidRPr="00F150B7">
        <w:t>1. Oba poskytovatelé společně s nabyvatelem předem stanoví rozdělení výběrových bodů v příslušném kraji mezi oba poskytovatele.</w:t>
      </w:r>
    </w:p>
    <w:p w:rsidR="00785933" w:rsidRPr="00F150B7" w:rsidRDefault="00785933" w:rsidP="000D1719">
      <w:pPr>
        <w:spacing w:after="80"/>
      </w:pPr>
      <w:r w:rsidRPr="00F150B7">
        <w:t xml:space="preserve">2. Každý z obou poskytovatelů v každém ze třinácti krajů, pomocí vlastní tazatelské sítě a pomocí vlastních interních procesů, provede ve stejném časovém období minimálně 500 rozhovorů. </w:t>
      </w:r>
    </w:p>
    <w:p w:rsidR="00785933" w:rsidRPr="00F150B7" w:rsidRDefault="00785933" w:rsidP="000D1719">
      <w:pPr>
        <w:spacing w:after="80"/>
      </w:pPr>
      <w:r w:rsidRPr="00F150B7">
        <w:t xml:space="preserve">3. Odborný zástupce nabyvatele (člen odborného procesního týmu) vytvoří pro každý kraj prázdný datový soubor (datamapu), který bude závazný pro oba poskytovatele. </w:t>
      </w:r>
    </w:p>
    <w:p w:rsidR="00785933" w:rsidRPr="00F150B7" w:rsidRDefault="00785933" w:rsidP="000D1719">
      <w:pPr>
        <w:spacing w:after="80"/>
      </w:pPr>
      <w:r w:rsidRPr="00F150B7">
        <w:t xml:space="preserve">4. Po ukončení sběru dat v příslušném kraji předá poskytovatel e-mailem datový soubor v dohodnutém termínu a ve struktuře odpovídající datamapě odbornému zástupci nabyvatele. </w:t>
      </w:r>
    </w:p>
    <w:p w:rsidR="00785933" w:rsidRPr="00F150B7" w:rsidRDefault="00785933" w:rsidP="000D1719">
      <w:pPr>
        <w:spacing w:after="80"/>
      </w:pPr>
      <w:r w:rsidRPr="00F150B7">
        <w:t xml:space="preserve">5. Odborný zástupce nabyvatele zkontroluje datové soubory obou poskytovatelů (logické vazby, počty dotazníků od jednoho tazatele, kvóty a podobně) a v případě nejasností bude neprodleně kontaktovat poskytovatele. Všechny strany se v takovém případě zavazují k maximálně součinnosti. Po vysvětlení případných nejasností nabyvatel vytvoří ze dvou parciálních souborů jeden finální datový soubor, který zároveň převáží. </w:t>
      </w:r>
    </w:p>
    <w:p w:rsidR="00785933" w:rsidRPr="00F150B7" w:rsidRDefault="00785933" w:rsidP="000D1719">
      <w:pPr>
        <w:spacing w:after="80"/>
      </w:pPr>
      <w:r w:rsidRPr="00F150B7">
        <w:t xml:space="preserve">6. Z  finálního datového souboru v průběhu téhož dne odborný zástupce nabyvatele vypočítá volební model zašle společně s finálním datovým souborem k odsouhlasení odborným zástupcům obou poskytovatelů (členům odborného procesního týmu). </w:t>
      </w:r>
    </w:p>
    <w:p w:rsidR="00785933" w:rsidRPr="00F150B7" w:rsidRDefault="00785933" w:rsidP="000D1719">
      <w:pPr>
        <w:spacing w:after="80"/>
      </w:pPr>
      <w:r w:rsidRPr="00F150B7">
        <w:t>7. Pokud ani jeden z odborných zástupců poskytovatelů do určeného terminu nevznese námitky k postupu vytvoření volebního modelu nebo získaným výsledkům, bude volební model považován za odsouhlasený. Pokud ze strany některého z odborných zástupců poskytovatelů dojde k vyjádření nesouhlasu se zaslaným volebním modelem, budou sporné body neodkladně řešeny. Všechny strany se v takovém případě zavazují k maximálně součinnosti.</w:t>
      </w:r>
    </w:p>
    <w:p w:rsidR="00785933" w:rsidRPr="00F150B7" w:rsidRDefault="00785933" w:rsidP="000D1719">
      <w:pPr>
        <w:spacing w:after="80"/>
      </w:pPr>
      <w:r w:rsidRPr="00F150B7">
        <w:t xml:space="preserve">8. Jakmile bude volební model odsouhlasen, bude předán do Redakce zpravodajství ČT. Zároveň bude odborným zástupcem nabyvatele vytvořen číselník, který bude jako podklad pro vytvoření zprávy předán oběma poskytovatelům. </w:t>
      </w:r>
    </w:p>
    <w:p w:rsidR="00785933" w:rsidRPr="00F150B7" w:rsidRDefault="00785933" w:rsidP="000D1719">
      <w:pPr>
        <w:spacing w:after="80"/>
      </w:pPr>
      <w:r w:rsidRPr="00F150B7">
        <w:t>9. Vzor zprávy vytvoří nabyvatel a odsouhlasí jej s oběma poskytovateli před začátkem sběru dat.</w:t>
      </w:r>
    </w:p>
    <w:p w:rsidR="00785933" w:rsidRPr="00F150B7" w:rsidRDefault="00785933" w:rsidP="000D1719">
      <w:pPr>
        <w:spacing w:after="80"/>
      </w:pPr>
      <w:r w:rsidRPr="00F150B7">
        <w:t>10. Sepsání závěrečné zprávy připadne vždy jednomu z poskytovatelů. Rozdělení krajů, pro něž budou poskytovatelé sepisovat zprávy, je součástí harmonogramu. Zprávy budou mít grafickou podobu s příslušným odborným komentářem. Zpráva bude příslušným poskytovatelem zaslána k odsouhlasení odborným zástupcům dalšího poskytovatele a nabyvatele následující den po dni, kdy byl poskytovateli doručen číselník.</w:t>
      </w:r>
    </w:p>
    <w:p w:rsidR="00785933" w:rsidRPr="00F150B7" w:rsidRDefault="00785933" w:rsidP="000D1719">
      <w:pPr>
        <w:spacing w:after="80"/>
      </w:pPr>
      <w:r w:rsidRPr="00F150B7">
        <w:t>11. Pokud ani jeden z odborných zástupců dalšího poskytovatele nebo nabyvatele nevznese do určeného termínu námitky k předložené zprávě za příslušný kraj, bude zpráva považována za odsouhlasenou. Pokud ze strany odborných zástupců dalšího poskytovatele nebo nabyvatele  dojde k vyjádření nesouhlasu se zaslanou zprávou, budou sporné body neodkladně řešeny. Všechny strany se v takovém případě zavazují k maximálně součinnosti.</w:t>
      </w:r>
    </w:p>
    <w:p w:rsidR="00785933" w:rsidRPr="00F150B7" w:rsidRDefault="00785933" w:rsidP="000D1719">
      <w:pPr>
        <w:spacing w:after="80"/>
      </w:pPr>
      <w:r w:rsidRPr="00F150B7">
        <w:t>12. Odsouhlasená zpráva bude zaslána jako podklad do Redakce zpravodajství ČT.</w:t>
      </w:r>
    </w:p>
    <w:p w:rsidR="00785933" w:rsidRPr="00F150B7" w:rsidRDefault="00785933" w:rsidP="000D1719">
      <w:pPr>
        <w:spacing w:after="80"/>
      </w:pPr>
      <w:r w:rsidRPr="00F150B7">
        <w:t>13. Jakékoliv případné neshody nad datovými soubory či jakýmikoliv jinými výstupy budou neprodleně a přednostně řešeny mezi odbornými zástupci obou poskytovatelů a nabyvatele v rámci procesního týmu.</w:t>
      </w:r>
    </w:p>
    <w:p w:rsidR="00785933" w:rsidRPr="00375901" w:rsidRDefault="00785933" w:rsidP="001623AE">
      <w:pPr>
        <w:rPr>
          <w:sz w:val="24"/>
          <w:szCs w:val="24"/>
        </w:rPr>
      </w:pPr>
    </w:p>
    <w:sectPr w:rsidR="00785933" w:rsidRPr="00375901" w:rsidSect="00BB0EC6">
      <w:footerReference w:type="default" r:id="rId8"/>
      <w:pgSz w:w="11906" w:h="16838"/>
      <w:pgMar w:top="851" w:right="127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933" w:rsidRDefault="00785933" w:rsidP="00F150B7">
      <w:pPr>
        <w:spacing w:after="0" w:line="240" w:lineRule="auto"/>
      </w:pPr>
      <w:r>
        <w:separator/>
      </w:r>
    </w:p>
  </w:endnote>
  <w:endnote w:type="continuationSeparator" w:id="1">
    <w:p w:rsidR="00785933" w:rsidRDefault="00785933" w:rsidP="00F1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933" w:rsidRPr="00F150B7" w:rsidRDefault="00785933">
    <w:pPr>
      <w:pStyle w:val="Footer"/>
      <w:jc w:val="right"/>
      <w:rPr>
        <w:sz w:val="18"/>
        <w:szCs w:val="18"/>
      </w:rPr>
    </w:pPr>
    <w:r w:rsidRPr="00F150B7">
      <w:rPr>
        <w:sz w:val="18"/>
        <w:szCs w:val="18"/>
      </w:rPr>
      <w:t xml:space="preserve">Strana </w:t>
    </w:r>
    <w:r w:rsidRPr="00F150B7">
      <w:rPr>
        <w:sz w:val="18"/>
        <w:szCs w:val="18"/>
      </w:rPr>
      <w:fldChar w:fldCharType="begin"/>
    </w:r>
    <w:r w:rsidRPr="00F150B7">
      <w:rPr>
        <w:sz w:val="18"/>
        <w:szCs w:val="18"/>
      </w:rPr>
      <w:instrText>PAGE   \* MERGEFORMAT</w:instrText>
    </w:r>
    <w:r w:rsidRPr="00F150B7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F150B7">
      <w:rPr>
        <w:sz w:val="18"/>
        <w:szCs w:val="18"/>
      </w:rPr>
      <w:fldChar w:fldCharType="end"/>
    </w:r>
  </w:p>
  <w:p w:rsidR="00785933" w:rsidRPr="00F150B7" w:rsidRDefault="00785933" w:rsidP="00F150B7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933" w:rsidRDefault="00785933" w:rsidP="00F150B7">
      <w:pPr>
        <w:spacing w:after="0" w:line="240" w:lineRule="auto"/>
      </w:pPr>
      <w:r>
        <w:separator/>
      </w:r>
    </w:p>
  </w:footnote>
  <w:footnote w:type="continuationSeparator" w:id="1">
    <w:p w:rsidR="00785933" w:rsidRDefault="00785933" w:rsidP="00F150B7">
      <w:pPr>
        <w:spacing w:after="0" w:line="240" w:lineRule="auto"/>
      </w:pPr>
      <w:r>
        <w:continuationSeparator/>
      </w:r>
    </w:p>
  </w:footnote>
  <w:footnote w:id="2">
    <w:p w:rsidR="00785933" w:rsidRDefault="00785933" w:rsidP="003E0C62">
      <w:pPr>
        <w:pStyle w:val="FootnoteText"/>
      </w:pPr>
      <w:r>
        <w:rPr>
          <w:rStyle w:val="FootnoteReference"/>
        </w:rPr>
        <w:footnoteRef/>
      </w:r>
      <w:r>
        <w:t xml:space="preserve"> Odvolání České pirátské strany posuzováno podle svého obsahu jako stížnost</w:t>
      </w:r>
    </w:p>
  </w:footnote>
  <w:footnote w:id="3">
    <w:p w:rsidR="00785933" w:rsidRDefault="00785933" w:rsidP="00FB3953">
      <w:pPr>
        <w:pStyle w:val="FootnoteText"/>
      </w:pPr>
      <w:r>
        <w:rPr>
          <w:rStyle w:val="FootnoteReference"/>
        </w:rPr>
        <w:footnoteRef/>
      </w:r>
      <w:r>
        <w:t xml:space="preserve"> O těchto stížnostech bude rozhodovat Etický panel dne 10.12.2012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5A6"/>
    <w:multiLevelType w:val="multilevel"/>
    <w:tmpl w:val="0FAEC2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73E0279"/>
    <w:multiLevelType w:val="hybridMultilevel"/>
    <w:tmpl w:val="AC3CF2AA"/>
    <w:lvl w:ilvl="0" w:tplc="DB644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E36A3"/>
    <w:multiLevelType w:val="hybridMultilevel"/>
    <w:tmpl w:val="B412B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83302"/>
    <w:multiLevelType w:val="hybridMultilevel"/>
    <w:tmpl w:val="033C6D3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4306AE"/>
    <w:multiLevelType w:val="hybridMultilevel"/>
    <w:tmpl w:val="C504A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1412A"/>
    <w:multiLevelType w:val="hybridMultilevel"/>
    <w:tmpl w:val="6A06F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33A8F"/>
    <w:multiLevelType w:val="hybridMultilevel"/>
    <w:tmpl w:val="E08E3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F0DF9"/>
    <w:multiLevelType w:val="hybridMultilevel"/>
    <w:tmpl w:val="804C5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A42EA"/>
    <w:multiLevelType w:val="hybridMultilevel"/>
    <w:tmpl w:val="AA667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0686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417A2827"/>
    <w:multiLevelType w:val="hybridMultilevel"/>
    <w:tmpl w:val="3970E90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996700"/>
    <w:multiLevelType w:val="hybridMultilevel"/>
    <w:tmpl w:val="50868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F6FD9"/>
    <w:multiLevelType w:val="hybridMultilevel"/>
    <w:tmpl w:val="401E2C7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353CDE"/>
    <w:multiLevelType w:val="multilevel"/>
    <w:tmpl w:val="0A384D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651C20D4"/>
    <w:multiLevelType w:val="hybridMultilevel"/>
    <w:tmpl w:val="3C0C0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5197B"/>
    <w:multiLevelType w:val="hybridMultilevel"/>
    <w:tmpl w:val="CBA643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637ABB"/>
    <w:multiLevelType w:val="hybridMultilevel"/>
    <w:tmpl w:val="1A42B0B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763AC8"/>
    <w:multiLevelType w:val="hybridMultilevel"/>
    <w:tmpl w:val="C79E8C34"/>
    <w:lvl w:ilvl="0" w:tplc="622E15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24B33"/>
    <w:multiLevelType w:val="hybridMultilevel"/>
    <w:tmpl w:val="1690CF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12"/>
  </w:num>
  <w:num w:numId="9">
    <w:abstractNumId w:val="11"/>
  </w:num>
  <w:num w:numId="10">
    <w:abstractNumId w:val="6"/>
  </w:num>
  <w:num w:numId="11">
    <w:abstractNumId w:val="10"/>
  </w:num>
  <w:num w:numId="12">
    <w:abstractNumId w:val="7"/>
  </w:num>
  <w:num w:numId="13">
    <w:abstractNumId w:val="14"/>
  </w:num>
  <w:num w:numId="14">
    <w:abstractNumId w:val="5"/>
  </w:num>
  <w:num w:numId="15">
    <w:abstractNumId w:val="4"/>
  </w:num>
  <w:num w:numId="16">
    <w:abstractNumId w:val="18"/>
  </w:num>
  <w:num w:numId="17">
    <w:abstractNumId w:val="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544"/>
    <w:rsid w:val="00023368"/>
    <w:rsid w:val="00050FEE"/>
    <w:rsid w:val="00052E1F"/>
    <w:rsid w:val="00063146"/>
    <w:rsid w:val="000841E4"/>
    <w:rsid w:val="00092A37"/>
    <w:rsid w:val="000D1719"/>
    <w:rsid w:val="000F4644"/>
    <w:rsid w:val="00121355"/>
    <w:rsid w:val="001623AE"/>
    <w:rsid w:val="001760FE"/>
    <w:rsid w:val="001D70EB"/>
    <w:rsid w:val="001F44F9"/>
    <w:rsid w:val="00266C2D"/>
    <w:rsid w:val="00287436"/>
    <w:rsid w:val="002E4731"/>
    <w:rsid w:val="0030578C"/>
    <w:rsid w:val="003260FA"/>
    <w:rsid w:val="0033548D"/>
    <w:rsid w:val="003423EF"/>
    <w:rsid w:val="00355298"/>
    <w:rsid w:val="00366EBC"/>
    <w:rsid w:val="00375901"/>
    <w:rsid w:val="003A5369"/>
    <w:rsid w:val="003B4846"/>
    <w:rsid w:val="003D30ED"/>
    <w:rsid w:val="003E0C62"/>
    <w:rsid w:val="003E3BFB"/>
    <w:rsid w:val="004311E8"/>
    <w:rsid w:val="004442B9"/>
    <w:rsid w:val="00476BB0"/>
    <w:rsid w:val="004F6306"/>
    <w:rsid w:val="0053417B"/>
    <w:rsid w:val="00553D46"/>
    <w:rsid w:val="00561201"/>
    <w:rsid w:val="005717E1"/>
    <w:rsid w:val="00581E00"/>
    <w:rsid w:val="00585FEF"/>
    <w:rsid w:val="005B0EAC"/>
    <w:rsid w:val="005C09B7"/>
    <w:rsid w:val="005C70FC"/>
    <w:rsid w:val="005D48C8"/>
    <w:rsid w:val="00610BAC"/>
    <w:rsid w:val="0062439B"/>
    <w:rsid w:val="00633912"/>
    <w:rsid w:val="006437D8"/>
    <w:rsid w:val="006439F9"/>
    <w:rsid w:val="00663C45"/>
    <w:rsid w:val="00680CBC"/>
    <w:rsid w:val="00695D4E"/>
    <w:rsid w:val="006A43D7"/>
    <w:rsid w:val="006B2BAD"/>
    <w:rsid w:val="006C0D0E"/>
    <w:rsid w:val="006D3C5E"/>
    <w:rsid w:val="006E2E81"/>
    <w:rsid w:val="006F5E31"/>
    <w:rsid w:val="00702568"/>
    <w:rsid w:val="00715061"/>
    <w:rsid w:val="00736F71"/>
    <w:rsid w:val="0074109F"/>
    <w:rsid w:val="007439A3"/>
    <w:rsid w:val="00751F14"/>
    <w:rsid w:val="00765396"/>
    <w:rsid w:val="00767058"/>
    <w:rsid w:val="00785933"/>
    <w:rsid w:val="007A4586"/>
    <w:rsid w:val="007E3B85"/>
    <w:rsid w:val="007E45AF"/>
    <w:rsid w:val="00823640"/>
    <w:rsid w:val="00832F4A"/>
    <w:rsid w:val="00851302"/>
    <w:rsid w:val="00856DF4"/>
    <w:rsid w:val="008863AE"/>
    <w:rsid w:val="0089202C"/>
    <w:rsid w:val="0089627E"/>
    <w:rsid w:val="008D0ACC"/>
    <w:rsid w:val="008D20F4"/>
    <w:rsid w:val="008F07D9"/>
    <w:rsid w:val="008F4136"/>
    <w:rsid w:val="0091400A"/>
    <w:rsid w:val="00915053"/>
    <w:rsid w:val="00940C14"/>
    <w:rsid w:val="00985509"/>
    <w:rsid w:val="00A058D6"/>
    <w:rsid w:val="00A05E89"/>
    <w:rsid w:val="00A15AB4"/>
    <w:rsid w:val="00A4123D"/>
    <w:rsid w:val="00A70365"/>
    <w:rsid w:val="00A93E1C"/>
    <w:rsid w:val="00A97DB3"/>
    <w:rsid w:val="00AB2775"/>
    <w:rsid w:val="00AD00DE"/>
    <w:rsid w:val="00AD0A44"/>
    <w:rsid w:val="00AD0E1D"/>
    <w:rsid w:val="00B075EC"/>
    <w:rsid w:val="00B25572"/>
    <w:rsid w:val="00B37722"/>
    <w:rsid w:val="00B6756D"/>
    <w:rsid w:val="00B67F1A"/>
    <w:rsid w:val="00BA6079"/>
    <w:rsid w:val="00BB0EC6"/>
    <w:rsid w:val="00C44D89"/>
    <w:rsid w:val="00C47426"/>
    <w:rsid w:val="00C52BCF"/>
    <w:rsid w:val="00C666F9"/>
    <w:rsid w:val="00C76476"/>
    <w:rsid w:val="00C9618F"/>
    <w:rsid w:val="00CA4E31"/>
    <w:rsid w:val="00CC22BD"/>
    <w:rsid w:val="00CF0D3A"/>
    <w:rsid w:val="00CF5579"/>
    <w:rsid w:val="00D16180"/>
    <w:rsid w:val="00D17299"/>
    <w:rsid w:val="00D24211"/>
    <w:rsid w:val="00D33DAC"/>
    <w:rsid w:val="00D456ED"/>
    <w:rsid w:val="00D751E4"/>
    <w:rsid w:val="00D76544"/>
    <w:rsid w:val="00D766BD"/>
    <w:rsid w:val="00D843E6"/>
    <w:rsid w:val="00D86162"/>
    <w:rsid w:val="00D878A0"/>
    <w:rsid w:val="00DA3DD7"/>
    <w:rsid w:val="00E059A3"/>
    <w:rsid w:val="00E07CBB"/>
    <w:rsid w:val="00EA489C"/>
    <w:rsid w:val="00F150B7"/>
    <w:rsid w:val="00F35FD7"/>
    <w:rsid w:val="00F36FE3"/>
    <w:rsid w:val="00F645E8"/>
    <w:rsid w:val="00F7091F"/>
    <w:rsid w:val="00F91C8C"/>
    <w:rsid w:val="00F95FF7"/>
    <w:rsid w:val="00FB3953"/>
    <w:rsid w:val="00FD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1E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41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417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417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3417B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rsid w:val="00D861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162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3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F07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5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0B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0B7"/>
    <w:rPr>
      <w:rFonts w:cs="Times New Roman"/>
    </w:rPr>
  </w:style>
  <w:style w:type="table" w:styleId="TableGrid">
    <w:name w:val="Table Grid"/>
    <w:basedOn w:val="TableNormal"/>
    <w:uiPriority w:val="99"/>
    <w:rsid w:val="00C44D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3E0C62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E0C62"/>
    <w:rPr>
      <w:rFonts w:ascii="Arial" w:hAnsi="Arial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3E0C6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15</Pages>
  <Words>5101</Words>
  <Characters>29692</Characters>
  <Application>Microsoft Office Outlook</Application>
  <DocSecurity>0</DocSecurity>
  <Lines>0</Lines>
  <Paragraphs>0</Paragraphs>
  <ScaleCrop>false</ScaleCrop>
  <Company>Česká televize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Štěpán Kotrba</cp:lastModifiedBy>
  <cp:revision>3</cp:revision>
  <cp:lastPrinted>2012-12-10T09:56:00Z</cp:lastPrinted>
  <dcterms:created xsi:type="dcterms:W3CDTF">2012-12-10T10:29:00Z</dcterms:created>
  <dcterms:modified xsi:type="dcterms:W3CDTF">2012-12-20T15:36:00Z</dcterms:modified>
</cp:coreProperties>
</file>